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E38B" w14:textId="77777777" w:rsidR="00FF0A94" w:rsidRPr="00B722F2" w:rsidRDefault="00FF0A94" w:rsidP="00FF0A94">
      <w:pPr>
        <w:tabs>
          <w:tab w:val="left" w:pos="5565"/>
        </w:tabs>
        <w:jc w:val="both"/>
        <w:rPr>
          <w:b/>
          <w:bCs/>
        </w:rPr>
      </w:pPr>
      <w:proofErr w:type="spellStart"/>
      <w:r w:rsidRPr="00B722F2">
        <w:rPr>
          <w:b/>
          <w:bCs/>
        </w:rPr>
        <w:t>Direcţia</w:t>
      </w:r>
      <w:proofErr w:type="spellEnd"/>
      <w:r w:rsidRPr="00B722F2">
        <w:rPr>
          <w:b/>
          <w:bCs/>
        </w:rPr>
        <w:t xml:space="preserve"> Generală de </w:t>
      </w:r>
      <w:proofErr w:type="spellStart"/>
      <w:r w:rsidRPr="00B722F2">
        <w:rPr>
          <w:b/>
          <w:bCs/>
        </w:rPr>
        <w:t>Asistenţă</w:t>
      </w:r>
      <w:proofErr w:type="spellEnd"/>
      <w:r w:rsidRPr="00B722F2">
        <w:rPr>
          <w:b/>
          <w:bCs/>
        </w:rPr>
        <w:t xml:space="preserve"> Socială </w:t>
      </w:r>
      <w:proofErr w:type="spellStart"/>
      <w:r w:rsidRPr="00B722F2">
        <w:rPr>
          <w:b/>
          <w:bCs/>
        </w:rPr>
        <w:t>şi</w:t>
      </w:r>
      <w:proofErr w:type="spellEnd"/>
      <w:r w:rsidRPr="00B722F2">
        <w:rPr>
          <w:b/>
          <w:bCs/>
        </w:rPr>
        <w:t xml:space="preserve"> </w:t>
      </w:r>
      <w:proofErr w:type="spellStart"/>
      <w:r w:rsidRPr="00B722F2">
        <w:rPr>
          <w:b/>
          <w:bCs/>
        </w:rPr>
        <w:t>Protecţia</w:t>
      </w:r>
      <w:proofErr w:type="spellEnd"/>
      <w:r w:rsidRPr="00B722F2">
        <w:rPr>
          <w:b/>
          <w:bCs/>
        </w:rPr>
        <w:t xml:space="preserve"> Copilului a </w:t>
      </w:r>
      <w:proofErr w:type="spellStart"/>
      <w:r w:rsidRPr="00B722F2">
        <w:rPr>
          <w:b/>
          <w:bCs/>
        </w:rPr>
        <w:t>Judeţului</w:t>
      </w:r>
      <w:proofErr w:type="spellEnd"/>
      <w:r w:rsidRPr="00B722F2">
        <w:rPr>
          <w:b/>
          <w:bCs/>
        </w:rPr>
        <w:t xml:space="preserve"> Suceava                             </w:t>
      </w:r>
      <w:r w:rsidRPr="00B722F2">
        <w:rPr>
          <w:b/>
          <w:bCs/>
        </w:rPr>
        <w:tab/>
      </w:r>
    </w:p>
    <w:p w14:paraId="684E203D" w14:textId="77777777" w:rsidR="00FF0A94" w:rsidRPr="00B722F2" w:rsidRDefault="00FF0A94" w:rsidP="00FF0A94">
      <w:pPr>
        <w:spacing w:line="360" w:lineRule="auto"/>
        <w:jc w:val="center"/>
        <w:rPr>
          <w:b/>
          <w:bCs/>
        </w:rPr>
      </w:pPr>
      <w:r w:rsidRPr="00B722F2">
        <w:rPr>
          <w:b/>
          <w:bCs/>
        </w:rPr>
        <w:t>B I B L I O G R A F I E</w:t>
      </w:r>
      <w:r>
        <w:rPr>
          <w:b/>
          <w:bCs/>
        </w:rPr>
        <w:t xml:space="preserve"> ȘI TEMATICĂ</w:t>
      </w:r>
    </w:p>
    <w:p w14:paraId="2B363AD5" w14:textId="1CD0FFF1" w:rsidR="00FF0A94" w:rsidRDefault="00FF0A94" w:rsidP="00FF0A94">
      <w:pPr>
        <w:ind w:right="-180"/>
        <w:jc w:val="center"/>
        <w:rPr>
          <w:b/>
          <w:iCs/>
        </w:rPr>
      </w:pPr>
      <w:r w:rsidRPr="00A54AD1">
        <w:rPr>
          <w:b/>
          <w:bCs/>
        </w:rPr>
        <w:t xml:space="preserve">la examenul de </w:t>
      </w:r>
      <w:r w:rsidRPr="001F75E9">
        <w:rPr>
          <w:b/>
          <w:bCs/>
        </w:rPr>
        <w:t xml:space="preserve">promovare în grad profesional imediat superior celui </w:t>
      </w:r>
      <w:proofErr w:type="spellStart"/>
      <w:r w:rsidRPr="001F75E9">
        <w:rPr>
          <w:b/>
          <w:bCs/>
        </w:rPr>
        <w:t>deţinut</w:t>
      </w:r>
      <w:proofErr w:type="spellEnd"/>
      <w:r w:rsidRPr="001F75E9">
        <w:rPr>
          <w:b/>
          <w:bCs/>
        </w:rPr>
        <w:t xml:space="preserve">, pe </w:t>
      </w:r>
      <w:proofErr w:type="spellStart"/>
      <w:r w:rsidRPr="001F75E9">
        <w:rPr>
          <w:b/>
          <w:bCs/>
        </w:rPr>
        <w:t>funcţia</w:t>
      </w:r>
      <w:proofErr w:type="spellEnd"/>
      <w:r w:rsidRPr="001F75E9">
        <w:rPr>
          <w:b/>
          <w:bCs/>
        </w:rPr>
        <w:t xml:space="preserve"> publică de </w:t>
      </w:r>
      <w:proofErr w:type="spellStart"/>
      <w:r w:rsidRPr="001F75E9">
        <w:rPr>
          <w:b/>
          <w:bCs/>
        </w:rPr>
        <w:t>execuţie</w:t>
      </w:r>
      <w:proofErr w:type="spellEnd"/>
      <w:r w:rsidRPr="001F75E9">
        <w:rPr>
          <w:b/>
          <w:bCs/>
        </w:rPr>
        <w:t xml:space="preserve"> de</w:t>
      </w:r>
      <w:r w:rsidRPr="001F75E9">
        <w:rPr>
          <w:b/>
          <w:bCs/>
          <w:iCs/>
        </w:rPr>
        <w:t xml:space="preserve"> consilier</w:t>
      </w:r>
      <w:r>
        <w:rPr>
          <w:b/>
          <w:bCs/>
          <w:iCs/>
        </w:rPr>
        <w:t>,</w:t>
      </w:r>
      <w:r w:rsidRPr="001F75E9">
        <w:rPr>
          <w:b/>
          <w:bCs/>
          <w:iCs/>
        </w:rPr>
        <w:t xml:space="preserve"> clasa I grad profesional </w:t>
      </w:r>
      <w:r w:rsidR="008D39EE">
        <w:rPr>
          <w:b/>
          <w:bCs/>
          <w:iCs/>
        </w:rPr>
        <w:t xml:space="preserve">superior </w:t>
      </w:r>
      <w:r w:rsidRPr="001F75E9">
        <w:rPr>
          <w:b/>
          <w:bCs/>
          <w:iCs/>
        </w:rPr>
        <w:t xml:space="preserve">la </w:t>
      </w:r>
      <w:r w:rsidRPr="001F75E9">
        <w:rPr>
          <w:b/>
          <w:bCs/>
        </w:rPr>
        <w:t xml:space="preserve"> </w:t>
      </w:r>
      <w:r w:rsidR="008E3E1A" w:rsidRPr="008E3E1A">
        <w:rPr>
          <w:b/>
          <w:iCs/>
        </w:rPr>
        <w:t>Compartimentul comisiilor de specialitate din cadrul Serviciului rezidențial adulți  și  al comisiilor de specialitate</w:t>
      </w:r>
    </w:p>
    <w:p w14:paraId="31DE6D24" w14:textId="77777777" w:rsidR="008E3E1A" w:rsidRPr="006063D5" w:rsidRDefault="008E3E1A" w:rsidP="00FF0A94">
      <w:pPr>
        <w:ind w:right="-180"/>
        <w:jc w:val="center"/>
        <w:rPr>
          <w:b/>
          <w:bCs/>
          <w:sz w:val="28"/>
          <w:szCs w:val="28"/>
        </w:rPr>
      </w:pPr>
    </w:p>
    <w:p w14:paraId="5A7BD87E" w14:textId="77777777" w:rsidR="00FF0A94" w:rsidRPr="005D022C" w:rsidRDefault="00FF0A94" w:rsidP="00FF0A94">
      <w:pPr>
        <w:ind w:right="-455"/>
        <w:jc w:val="both"/>
        <w:rPr>
          <w:bCs/>
        </w:rPr>
      </w:pPr>
      <w:r>
        <w:rPr>
          <w:bCs/>
        </w:rPr>
        <w:t>1</w:t>
      </w:r>
      <w:r w:rsidRPr="005D022C">
        <w:rPr>
          <w:bCs/>
        </w:rPr>
        <w:t xml:space="preserve">. </w:t>
      </w:r>
      <w:proofErr w:type="spellStart"/>
      <w:r w:rsidRPr="005D022C">
        <w:rPr>
          <w:rStyle w:val="rvts41"/>
          <w:lang w:val="en-US"/>
        </w:rPr>
        <w:t>Ordonanţa</w:t>
      </w:r>
      <w:proofErr w:type="spellEnd"/>
      <w:r w:rsidRPr="005D022C">
        <w:rPr>
          <w:rStyle w:val="rvts41"/>
          <w:lang w:val="en-US"/>
        </w:rPr>
        <w:t xml:space="preserve"> de </w:t>
      </w:r>
      <w:proofErr w:type="spellStart"/>
      <w:r w:rsidRPr="005D022C">
        <w:rPr>
          <w:rStyle w:val="rvts41"/>
          <w:lang w:val="en-US"/>
        </w:rPr>
        <w:t>urgenţă</w:t>
      </w:r>
      <w:proofErr w:type="spellEnd"/>
      <w:r w:rsidRPr="005D022C">
        <w:rPr>
          <w:rStyle w:val="rvts41"/>
          <w:lang w:val="en-US"/>
        </w:rPr>
        <w:t xml:space="preserve"> a </w:t>
      </w:r>
      <w:proofErr w:type="spellStart"/>
      <w:r w:rsidRPr="005D022C">
        <w:rPr>
          <w:rStyle w:val="rvts41"/>
          <w:lang w:val="en-US"/>
        </w:rPr>
        <w:t>Guvernului</w:t>
      </w:r>
      <w:proofErr w:type="spellEnd"/>
      <w:r w:rsidRPr="005D022C">
        <w:rPr>
          <w:rStyle w:val="rvts41"/>
          <w:lang w:val="en-US"/>
        </w:rPr>
        <w:t xml:space="preserve"> nr. 57 din 3 </w:t>
      </w:r>
      <w:proofErr w:type="spellStart"/>
      <w:r w:rsidRPr="005D022C">
        <w:rPr>
          <w:rStyle w:val="rvts41"/>
          <w:lang w:val="en-US"/>
        </w:rPr>
        <w:t>iulie</w:t>
      </w:r>
      <w:proofErr w:type="spellEnd"/>
      <w:r w:rsidRPr="005D022C">
        <w:rPr>
          <w:rStyle w:val="rvts41"/>
          <w:lang w:val="en-US"/>
        </w:rPr>
        <w:t xml:space="preserve"> 2019 </w:t>
      </w:r>
      <w:proofErr w:type="spellStart"/>
      <w:r w:rsidRPr="005D022C">
        <w:rPr>
          <w:rStyle w:val="rvts41"/>
          <w:lang w:val="en-US"/>
        </w:rPr>
        <w:t>privind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Codul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administrativ</w:t>
      </w:r>
      <w:proofErr w:type="spellEnd"/>
      <w:r w:rsidRPr="005D022C">
        <w:rPr>
          <w:rStyle w:val="rvts41"/>
          <w:lang w:val="en-US"/>
        </w:rPr>
        <w:t xml:space="preserve">, cu </w:t>
      </w:r>
      <w:proofErr w:type="spellStart"/>
      <w:r w:rsidRPr="005D022C">
        <w:rPr>
          <w:rStyle w:val="rvts41"/>
          <w:lang w:val="en-US"/>
        </w:rPr>
        <w:t>modificările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şi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completările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ulterioare</w:t>
      </w:r>
      <w:proofErr w:type="spellEnd"/>
      <w:r>
        <w:rPr>
          <w:rStyle w:val="rvts41"/>
          <w:lang w:val="en-US"/>
        </w:rPr>
        <w:t xml:space="preserve"> </w:t>
      </w:r>
      <w:r w:rsidRPr="005D022C">
        <w:rPr>
          <w:rStyle w:val="rvts41"/>
          <w:lang w:val="en-US"/>
        </w:rPr>
        <w:t>-</w:t>
      </w:r>
      <w:r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Titlul</w:t>
      </w:r>
      <w:proofErr w:type="spellEnd"/>
      <w:r w:rsidRPr="005D022C">
        <w:rPr>
          <w:rStyle w:val="rvts41"/>
          <w:lang w:val="en-US"/>
        </w:rPr>
        <w:t xml:space="preserve"> I </w:t>
      </w:r>
      <w:proofErr w:type="spellStart"/>
      <w:r w:rsidRPr="005D022C">
        <w:rPr>
          <w:rStyle w:val="rvts41"/>
          <w:lang w:val="en-US"/>
        </w:rPr>
        <w:t>şi</w:t>
      </w:r>
      <w:proofErr w:type="spellEnd"/>
      <w:r w:rsidRPr="005D022C">
        <w:rPr>
          <w:rStyle w:val="rvts41"/>
          <w:lang w:val="en-US"/>
        </w:rPr>
        <w:t xml:space="preserve"> II ale </w:t>
      </w:r>
      <w:proofErr w:type="spellStart"/>
      <w:r w:rsidRPr="005D022C">
        <w:rPr>
          <w:rStyle w:val="rvts41"/>
          <w:lang w:val="en-US"/>
        </w:rPr>
        <w:t>părţii</w:t>
      </w:r>
      <w:proofErr w:type="spellEnd"/>
      <w:r w:rsidRPr="005D022C">
        <w:rPr>
          <w:rStyle w:val="rvts41"/>
          <w:lang w:val="en-US"/>
        </w:rPr>
        <w:t xml:space="preserve"> a VI-a (</w:t>
      </w:r>
      <w:proofErr w:type="spellStart"/>
      <w:r w:rsidRPr="005D022C">
        <w:rPr>
          <w:rStyle w:val="rvts41"/>
          <w:lang w:val="en-US"/>
        </w:rPr>
        <w:t>Monitorul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Oficial</w:t>
      </w:r>
      <w:proofErr w:type="spellEnd"/>
      <w:r w:rsidRPr="005D022C">
        <w:rPr>
          <w:rStyle w:val="rvts41"/>
          <w:lang w:val="en-US"/>
        </w:rPr>
        <w:t xml:space="preserve">, </w:t>
      </w:r>
      <w:proofErr w:type="spellStart"/>
      <w:r w:rsidRPr="005D022C">
        <w:rPr>
          <w:rStyle w:val="rvts41"/>
          <w:lang w:val="en-US"/>
        </w:rPr>
        <w:t>Partea</w:t>
      </w:r>
      <w:proofErr w:type="spellEnd"/>
      <w:r w:rsidRPr="005D022C">
        <w:rPr>
          <w:rStyle w:val="rvts41"/>
          <w:lang w:val="en-US"/>
        </w:rPr>
        <w:t xml:space="preserve"> I </w:t>
      </w:r>
      <w:r>
        <w:rPr>
          <w:rStyle w:val="rvts41"/>
          <w:lang w:val="en-US"/>
        </w:rPr>
        <w:t xml:space="preserve">         </w:t>
      </w:r>
      <w:r w:rsidRPr="005D022C">
        <w:rPr>
          <w:rStyle w:val="rvts41"/>
          <w:lang w:val="en-US"/>
        </w:rPr>
        <w:t xml:space="preserve">nr. </w:t>
      </w:r>
      <w:r w:rsidRPr="005D022C">
        <w:rPr>
          <w:rStyle w:val="rvts41"/>
          <w:bCs/>
        </w:rPr>
        <w:t>555 din 5 iulie 2019</w:t>
      </w:r>
      <w:r w:rsidRPr="005D022C">
        <w:rPr>
          <w:rStyle w:val="rvts41"/>
          <w:lang w:val="en-US"/>
        </w:rPr>
        <w:t>)</w:t>
      </w:r>
      <w:r w:rsidRPr="005D022C">
        <w:rPr>
          <w:bCs/>
        </w:rPr>
        <w:t>;</w:t>
      </w:r>
    </w:p>
    <w:p w14:paraId="5C2D2ED1" w14:textId="77777777" w:rsidR="00FF0A94" w:rsidRPr="005D022C" w:rsidRDefault="00FF0A94" w:rsidP="00FF0A94">
      <w:pPr>
        <w:ind w:right="-455"/>
        <w:jc w:val="both"/>
        <w:rPr>
          <w:bCs/>
        </w:rPr>
      </w:pPr>
      <w:r>
        <w:rPr>
          <w:bCs/>
        </w:rPr>
        <w:t>2</w:t>
      </w:r>
      <w:r w:rsidRPr="005D022C">
        <w:rPr>
          <w:bCs/>
        </w:rPr>
        <w:t xml:space="preserve">. </w:t>
      </w:r>
      <w:proofErr w:type="spellStart"/>
      <w:r w:rsidRPr="005D022C">
        <w:rPr>
          <w:bCs/>
        </w:rPr>
        <w:t>Constituţia</w:t>
      </w:r>
      <w:proofErr w:type="spellEnd"/>
      <w:r w:rsidRPr="005D022C">
        <w:rPr>
          <w:bCs/>
        </w:rPr>
        <w:t xml:space="preserve"> României, republicată </w:t>
      </w:r>
      <w:r w:rsidRPr="005D022C">
        <w:rPr>
          <w:bCs/>
          <w:iCs/>
        </w:rPr>
        <w:t>(Monitorul Oficial Partea I nr. 767 din 31 octombrie 2003)</w:t>
      </w:r>
      <w:r w:rsidRPr="005D022C">
        <w:rPr>
          <w:bCs/>
        </w:rPr>
        <w:t>;</w:t>
      </w:r>
    </w:p>
    <w:p w14:paraId="4C69E7FC" w14:textId="3BB7682C" w:rsidR="00FF0A94" w:rsidRPr="005D022C" w:rsidRDefault="00FF0A94" w:rsidP="00FF0A94">
      <w:pPr>
        <w:pStyle w:val="rvps1"/>
        <w:shd w:val="clear" w:color="auto" w:fill="FFFFFF"/>
        <w:spacing w:before="0" w:beforeAutospacing="0" w:after="0" w:afterAutospacing="0"/>
        <w:ind w:right="-455"/>
        <w:jc w:val="both"/>
        <w:rPr>
          <w:rFonts w:eastAsia="PMingLiU"/>
          <w:lang w:eastAsia="ro-RO"/>
        </w:rPr>
      </w:pPr>
      <w:r>
        <w:rPr>
          <w:rFonts w:eastAsia="PMingLiU"/>
          <w:bCs/>
          <w:lang w:eastAsia="ro-RO"/>
        </w:rPr>
        <w:t>3</w:t>
      </w:r>
      <w:r w:rsidRPr="005D022C">
        <w:rPr>
          <w:rFonts w:eastAsia="PMingLiU"/>
          <w:bCs/>
          <w:lang w:eastAsia="ro-RO"/>
        </w:rPr>
        <w:t>.</w:t>
      </w:r>
      <w:r w:rsidRPr="005D022C">
        <w:rPr>
          <w:rFonts w:eastAsia="PMingLiU"/>
          <w:lang w:eastAsia="ro-RO"/>
        </w:rPr>
        <w:t xml:space="preserve"> </w:t>
      </w:r>
      <w:proofErr w:type="spellStart"/>
      <w:r>
        <w:rPr>
          <w:rFonts w:eastAsia="PMingLiU"/>
          <w:lang w:val="ro-RO" w:eastAsia="ro-RO"/>
        </w:rPr>
        <w:t>Ordonanţa</w:t>
      </w:r>
      <w:proofErr w:type="spellEnd"/>
      <w:r>
        <w:rPr>
          <w:rFonts w:eastAsia="PMingLiU"/>
          <w:lang w:val="ro-RO" w:eastAsia="ro-RO"/>
        </w:rPr>
        <w:t xml:space="preserve"> Guvernului nr.</w:t>
      </w:r>
      <w:r w:rsidRPr="005D022C">
        <w:rPr>
          <w:rFonts w:eastAsia="PMingLiU"/>
          <w:lang w:val="ro-RO" w:eastAsia="ro-RO"/>
        </w:rPr>
        <w:t xml:space="preserve">137/2000, republicată, privind prevenirea </w:t>
      </w:r>
      <w:proofErr w:type="spellStart"/>
      <w:r w:rsidRPr="005D022C">
        <w:rPr>
          <w:rFonts w:eastAsia="PMingLiU"/>
          <w:lang w:val="ro-RO" w:eastAsia="ro-RO"/>
        </w:rPr>
        <w:t>şi</w:t>
      </w:r>
      <w:proofErr w:type="spellEnd"/>
      <w:r w:rsidRPr="005D022C">
        <w:rPr>
          <w:rFonts w:eastAsia="PMingLiU"/>
          <w:lang w:val="ro-RO" w:eastAsia="ro-RO"/>
        </w:rPr>
        <w:t xml:space="preserve"> </w:t>
      </w:r>
      <w:proofErr w:type="spellStart"/>
      <w:r w:rsidRPr="005D022C">
        <w:rPr>
          <w:rFonts w:eastAsia="PMingLiU"/>
          <w:bCs/>
          <w:lang w:val="ro-RO" w:eastAsia="ro-RO"/>
        </w:rPr>
        <w:t>sancţionarea</w:t>
      </w:r>
      <w:proofErr w:type="spellEnd"/>
      <w:r w:rsidRPr="005D022C">
        <w:rPr>
          <w:rFonts w:eastAsia="PMingLiU"/>
          <w:bCs/>
          <w:lang w:val="ro-RO" w:eastAsia="ro-RO"/>
        </w:rPr>
        <w:t xml:space="preserve"> tuturor formelor de discriminare</w:t>
      </w:r>
      <w:r w:rsidRPr="005D022C">
        <w:rPr>
          <w:rFonts w:eastAsia="PMingLiU"/>
          <w:lang w:eastAsia="ro-RO"/>
        </w:rPr>
        <w:t xml:space="preserve">, cu </w:t>
      </w:r>
      <w:proofErr w:type="spellStart"/>
      <w:r w:rsidRPr="005D022C">
        <w:rPr>
          <w:rFonts w:eastAsia="PMingLiU"/>
          <w:lang w:eastAsia="ro-RO"/>
        </w:rPr>
        <w:t>modificările</w:t>
      </w:r>
      <w:proofErr w:type="spellEnd"/>
      <w:r w:rsidRPr="005D022C">
        <w:rPr>
          <w:rFonts w:eastAsia="PMingLiU"/>
          <w:lang w:eastAsia="ro-RO"/>
        </w:rPr>
        <w:t xml:space="preserve"> </w:t>
      </w:r>
      <w:proofErr w:type="spellStart"/>
      <w:r w:rsidRPr="005D022C">
        <w:rPr>
          <w:rFonts w:eastAsia="PMingLiU"/>
          <w:lang w:eastAsia="ro-RO"/>
        </w:rPr>
        <w:t>și</w:t>
      </w:r>
      <w:proofErr w:type="spellEnd"/>
      <w:r w:rsidRPr="005D022C">
        <w:rPr>
          <w:rFonts w:eastAsia="PMingLiU"/>
          <w:lang w:eastAsia="ro-RO"/>
        </w:rPr>
        <w:t xml:space="preserve"> </w:t>
      </w:r>
      <w:proofErr w:type="spellStart"/>
      <w:r w:rsidRPr="005D022C">
        <w:rPr>
          <w:rFonts w:eastAsia="PMingLiU"/>
          <w:lang w:eastAsia="ro-RO"/>
        </w:rPr>
        <w:t>completările</w:t>
      </w:r>
      <w:proofErr w:type="spellEnd"/>
      <w:r w:rsidRPr="005D022C">
        <w:rPr>
          <w:rFonts w:eastAsia="PMingLiU"/>
          <w:lang w:eastAsia="ro-RO"/>
        </w:rPr>
        <w:t xml:space="preserve"> </w:t>
      </w:r>
      <w:proofErr w:type="spellStart"/>
      <w:r w:rsidRPr="005D022C">
        <w:rPr>
          <w:rFonts w:eastAsia="PMingLiU"/>
          <w:lang w:eastAsia="ro-RO"/>
        </w:rPr>
        <w:t>ulterioare</w:t>
      </w:r>
      <w:proofErr w:type="spellEnd"/>
      <w:r w:rsidRPr="005D022C">
        <w:rPr>
          <w:rFonts w:eastAsia="PMingLiU"/>
          <w:bCs/>
          <w:lang w:val="ro-RO" w:eastAsia="ro-RO"/>
        </w:rPr>
        <w:t xml:space="preserve"> (Monitorul Oficial Partea I nr. 166/2014)</w:t>
      </w:r>
      <w:r>
        <w:rPr>
          <w:rFonts w:eastAsia="PMingLiU"/>
          <w:bCs/>
          <w:lang w:val="ro-RO" w:eastAsia="ro-RO"/>
        </w:rPr>
        <w:t>;</w:t>
      </w:r>
    </w:p>
    <w:p w14:paraId="15F58325" w14:textId="77777777" w:rsidR="00FF0A94" w:rsidRDefault="00FF0A94" w:rsidP="00FF0A94">
      <w:pPr>
        <w:ind w:right="-455"/>
        <w:jc w:val="both"/>
      </w:pPr>
      <w:r>
        <w:rPr>
          <w:rStyle w:val="rvts41"/>
        </w:rPr>
        <w:t>4</w:t>
      </w:r>
      <w:r w:rsidRPr="005D022C">
        <w:rPr>
          <w:rStyle w:val="rvts41"/>
        </w:rPr>
        <w:t xml:space="preserve">. Legea nr.202/2002 privind egalitatea de </w:t>
      </w:r>
      <w:proofErr w:type="spellStart"/>
      <w:r w:rsidRPr="005D022C">
        <w:rPr>
          <w:rStyle w:val="rvts41"/>
        </w:rPr>
        <w:t>şanse</w:t>
      </w:r>
      <w:proofErr w:type="spellEnd"/>
      <w:r w:rsidRPr="005D022C">
        <w:rPr>
          <w:rStyle w:val="rvts41"/>
        </w:rPr>
        <w:t xml:space="preserve"> </w:t>
      </w:r>
      <w:proofErr w:type="spellStart"/>
      <w:r w:rsidRPr="005D022C">
        <w:rPr>
          <w:rStyle w:val="rvts41"/>
        </w:rPr>
        <w:t>şi</w:t>
      </w:r>
      <w:proofErr w:type="spellEnd"/>
      <w:r w:rsidRPr="005D022C">
        <w:rPr>
          <w:rStyle w:val="rvts41"/>
        </w:rPr>
        <w:t xml:space="preserve"> de tratament între femei </w:t>
      </w:r>
      <w:proofErr w:type="spellStart"/>
      <w:r w:rsidRPr="005D022C">
        <w:rPr>
          <w:rStyle w:val="rvts41"/>
        </w:rPr>
        <w:t>şi</w:t>
      </w:r>
      <w:proofErr w:type="spellEnd"/>
      <w:r w:rsidRPr="005D022C">
        <w:rPr>
          <w:rStyle w:val="rvts41"/>
        </w:rPr>
        <w:t xml:space="preserve"> </w:t>
      </w:r>
      <w:proofErr w:type="spellStart"/>
      <w:r w:rsidRPr="005D022C">
        <w:rPr>
          <w:rStyle w:val="rvts41"/>
        </w:rPr>
        <w:t>bărbaţi</w:t>
      </w:r>
      <w:proofErr w:type="spellEnd"/>
      <w:r w:rsidRPr="005D022C">
        <w:rPr>
          <w:rStyle w:val="rvts41"/>
        </w:rPr>
        <w:t xml:space="preserve">, republicată, cu modificările </w:t>
      </w:r>
      <w:proofErr w:type="spellStart"/>
      <w:r w:rsidRPr="005D022C">
        <w:rPr>
          <w:rStyle w:val="rvts41"/>
        </w:rPr>
        <w:t>şi</w:t>
      </w:r>
      <w:proofErr w:type="spellEnd"/>
      <w:r w:rsidRPr="005D022C">
        <w:rPr>
          <w:rStyle w:val="rvts41"/>
        </w:rPr>
        <w:t xml:space="preserve"> completările ulterioare (</w:t>
      </w:r>
      <w:r w:rsidRPr="00AD0619">
        <w:t>Monitorul Oficial Partea I nr. 326/2013);</w:t>
      </w:r>
    </w:p>
    <w:p w14:paraId="7251D39A" w14:textId="7CD14397" w:rsidR="008E3E1A" w:rsidRPr="008E3E1A" w:rsidRDefault="00FF0A94" w:rsidP="008E3E1A">
      <w:pPr>
        <w:ind w:right="-455"/>
        <w:jc w:val="both"/>
        <w:rPr>
          <w:bCs/>
        </w:rPr>
      </w:pPr>
      <w:r>
        <w:t>5</w:t>
      </w:r>
      <w:r w:rsidRPr="008E3E1A">
        <w:rPr>
          <w:bCs/>
        </w:rPr>
        <w:t xml:space="preserve">. </w:t>
      </w:r>
      <w:r w:rsidR="008E3E1A" w:rsidRPr="008E3E1A">
        <w:rPr>
          <w:bCs/>
        </w:rPr>
        <w:t xml:space="preserve">Hotărârea nr. 430/2008 pentru aprobarea Metodologiei privind organizarea </w:t>
      </w:r>
      <w:proofErr w:type="spellStart"/>
      <w:r w:rsidR="008E3E1A" w:rsidRPr="008E3E1A">
        <w:rPr>
          <w:bCs/>
        </w:rPr>
        <w:t>şi</w:t>
      </w:r>
      <w:proofErr w:type="spellEnd"/>
      <w:r w:rsidR="008E3E1A" w:rsidRPr="008E3E1A">
        <w:rPr>
          <w:bCs/>
        </w:rPr>
        <w:t xml:space="preserve"> </w:t>
      </w:r>
      <w:proofErr w:type="spellStart"/>
      <w:r w:rsidR="008E3E1A" w:rsidRPr="008E3E1A">
        <w:rPr>
          <w:bCs/>
        </w:rPr>
        <w:t>funcţionarea</w:t>
      </w:r>
      <w:proofErr w:type="spellEnd"/>
      <w:r w:rsidR="008E3E1A" w:rsidRPr="008E3E1A">
        <w:rPr>
          <w:bCs/>
        </w:rPr>
        <w:t xml:space="preserve"> comisiei de evaluare a persoanelor adulte cu handicap</w:t>
      </w:r>
      <w:r w:rsidR="008E3E1A">
        <w:rPr>
          <w:bCs/>
        </w:rPr>
        <w:t>,</w:t>
      </w:r>
      <w:r w:rsidR="008E3E1A" w:rsidRPr="008E3E1A">
        <w:rPr>
          <w:rStyle w:val="rvts41"/>
          <w:lang w:val="en-US"/>
        </w:rPr>
        <w:t xml:space="preserve"> </w:t>
      </w:r>
      <w:r w:rsidR="008E3E1A" w:rsidRPr="005D022C">
        <w:rPr>
          <w:rStyle w:val="rvts41"/>
          <w:lang w:val="en-US"/>
        </w:rPr>
        <w:t xml:space="preserve">cu </w:t>
      </w:r>
      <w:proofErr w:type="spellStart"/>
      <w:r w:rsidR="008E3E1A" w:rsidRPr="005D022C">
        <w:rPr>
          <w:rStyle w:val="rvts41"/>
          <w:lang w:val="en-US"/>
        </w:rPr>
        <w:t>modificările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şi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completările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ulterioare</w:t>
      </w:r>
      <w:proofErr w:type="spellEnd"/>
      <w:r w:rsidR="008E3E1A" w:rsidRPr="005D022C">
        <w:rPr>
          <w:rStyle w:val="rvts41"/>
        </w:rPr>
        <w:t xml:space="preserve"> (</w:t>
      </w:r>
      <w:r w:rsidR="008E3E1A" w:rsidRPr="00AD0619">
        <w:t>Monitorul Oficial Partea I nr. 3</w:t>
      </w:r>
      <w:r w:rsidR="008E3E1A">
        <w:t>39</w:t>
      </w:r>
      <w:r w:rsidR="008E3E1A" w:rsidRPr="00AD0619">
        <w:t>/20</w:t>
      </w:r>
      <w:r w:rsidR="008E3E1A">
        <w:t>08</w:t>
      </w:r>
      <w:r w:rsidR="008E3E1A" w:rsidRPr="00AD0619">
        <w:t>)</w:t>
      </w:r>
      <w:r w:rsidR="008E3E1A" w:rsidRPr="008E3E1A">
        <w:rPr>
          <w:bCs/>
        </w:rPr>
        <w:t>;</w:t>
      </w:r>
    </w:p>
    <w:p w14:paraId="482FB574" w14:textId="0B715F77" w:rsidR="008E3E1A" w:rsidRPr="008E3E1A" w:rsidRDefault="008E3E1A" w:rsidP="008E3E1A">
      <w:pPr>
        <w:ind w:right="-455"/>
        <w:jc w:val="both"/>
        <w:rPr>
          <w:bCs/>
        </w:rPr>
      </w:pPr>
      <w:r>
        <w:rPr>
          <w:bCs/>
        </w:rPr>
        <w:t xml:space="preserve">6. </w:t>
      </w:r>
      <w:r w:rsidRPr="008E3E1A">
        <w:rPr>
          <w:bCs/>
        </w:rPr>
        <w:t xml:space="preserve">Legea nr. 448/2006 privind </w:t>
      </w:r>
      <w:proofErr w:type="spellStart"/>
      <w:r w:rsidRPr="008E3E1A">
        <w:rPr>
          <w:bCs/>
        </w:rPr>
        <w:t>protecţia</w:t>
      </w:r>
      <w:proofErr w:type="spellEnd"/>
      <w:r w:rsidRPr="008E3E1A">
        <w:rPr>
          <w:bCs/>
        </w:rPr>
        <w:t xml:space="preserve"> </w:t>
      </w:r>
      <w:proofErr w:type="spellStart"/>
      <w:r w:rsidRPr="008E3E1A">
        <w:rPr>
          <w:bCs/>
        </w:rPr>
        <w:t>şi</w:t>
      </w:r>
      <w:proofErr w:type="spellEnd"/>
      <w:r w:rsidRPr="008E3E1A">
        <w:rPr>
          <w:bCs/>
        </w:rPr>
        <w:t xml:space="preserve"> promovarea  drepturilor  persoanelor cu handicap, republicată</w:t>
      </w:r>
      <w:r>
        <w:rPr>
          <w:bCs/>
        </w:rPr>
        <w:t xml:space="preserve">, </w:t>
      </w:r>
      <w:r w:rsidRPr="005D022C">
        <w:rPr>
          <w:rStyle w:val="rvts41"/>
          <w:lang w:val="en-US"/>
        </w:rPr>
        <w:t xml:space="preserve">cu </w:t>
      </w:r>
      <w:proofErr w:type="spellStart"/>
      <w:r w:rsidRPr="005D022C">
        <w:rPr>
          <w:rStyle w:val="rvts41"/>
          <w:lang w:val="en-US"/>
        </w:rPr>
        <w:t>modificările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şi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completările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ulterioare</w:t>
      </w:r>
      <w:proofErr w:type="spellEnd"/>
      <w:r w:rsidRPr="005D022C">
        <w:rPr>
          <w:rStyle w:val="rvts41"/>
        </w:rPr>
        <w:t xml:space="preserve"> (</w:t>
      </w:r>
      <w:r w:rsidRPr="00AD0619">
        <w:t xml:space="preserve">Monitorul Oficial Partea I nr. </w:t>
      </w:r>
      <w:r>
        <w:t>1</w:t>
      </w:r>
      <w:r w:rsidRPr="00AD0619">
        <w:t>/20</w:t>
      </w:r>
      <w:r>
        <w:t>08</w:t>
      </w:r>
      <w:r w:rsidRPr="00AD0619">
        <w:t>)</w:t>
      </w:r>
      <w:r w:rsidRPr="008E3E1A">
        <w:rPr>
          <w:bCs/>
        </w:rPr>
        <w:t>.</w:t>
      </w:r>
    </w:p>
    <w:p w14:paraId="3D414F57" w14:textId="77777777" w:rsidR="00FF0A94" w:rsidRPr="00B77420" w:rsidRDefault="00FF0A94" w:rsidP="00FF0A94">
      <w:pPr>
        <w:pStyle w:val="rvps1"/>
        <w:shd w:val="clear" w:color="auto" w:fill="FFFFFF"/>
        <w:spacing w:before="0" w:beforeAutospacing="0" w:after="0" w:afterAutospacing="0"/>
        <w:jc w:val="both"/>
      </w:pPr>
    </w:p>
    <w:p w14:paraId="0D8D98B2" w14:textId="77777777" w:rsidR="00FF0A94" w:rsidRDefault="00FF0A94" w:rsidP="00FF0A94">
      <w:pPr>
        <w:ind w:right="-314"/>
        <w:jc w:val="both"/>
        <w:rPr>
          <w:b/>
          <w:bCs/>
        </w:rPr>
      </w:pPr>
      <w:proofErr w:type="spellStart"/>
      <w:r w:rsidRPr="00B722F2">
        <w:rPr>
          <w:b/>
          <w:bCs/>
        </w:rPr>
        <w:t>Candidaţii</w:t>
      </w:r>
      <w:proofErr w:type="spellEnd"/>
      <w:r w:rsidRPr="00B722F2">
        <w:rPr>
          <w:b/>
          <w:bCs/>
        </w:rPr>
        <w:t xml:space="preserve"> vor avea în vedere la studierea actelor normative din bibliografie inclusiv republicările, modificările </w:t>
      </w:r>
      <w:proofErr w:type="spellStart"/>
      <w:r w:rsidRPr="00B722F2">
        <w:rPr>
          <w:b/>
          <w:bCs/>
        </w:rPr>
        <w:t>şi</w:t>
      </w:r>
      <w:proofErr w:type="spellEnd"/>
      <w:r w:rsidRPr="00B722F2">
        <w:rPr>
          <w:b/>
          <w:bCs/>
        </w:rPr>
        <w:t xml:space="preserve"> completările acestora.</w:t>
      </w:r>
    </w:p>
    <w:p w14:paraId="0C27A136" w14:textId="77777777" w:rsidR="00FF0A94" w:rsidRDefault="00FF0A94" w:rsidP="00FF0A94">
      <w:pPr>
        <w:ind w:right="-314"/>
        <w:jc w:val="both"/>
        <w:rPr>
          <w:b/>
          <w:bCs/>
        </w:rPr>
      </w:pPr>
    </w:p>
    <w:p w14:paraId="67603F19" w14:textId="77777777" w:rsidR="00FF0A94" w:rsidRDefault="00FF0A94" w:rsidP="00FF0A94">
      <w:pPr>
        <w:ind w:right="-314"/>
        <w:jc w:val="both"/>
        <w:rPr>
          <w:b/>
          <w:bCs/>
        </w:rPr>
      </w:pPr>
      <w:r>
        <w:rPr>
          <w:b/>
          <w:bCs/>
        </w:rPr>
        <w:t>Tematică:</w:t>
      </w:r>
    </w:p>
    <w:p w14:paraId="7261A1E8" w14:textId="77777777" w:rsidR="00FF0A94" w:rsidRPr="00653B52" w:rsidRDefault="00FF0A94" w:rsidP="00FF0A94">
      <w:pPr>
        <w:pStyle w:val="rvps1"/>
        <w:shd w:val="clear" w:color="auto" w:fill="FFFFFF"/>
        <w:spacing w:before="0" w:beforeAutospacing="0" w:after="0" w:afterAutospacing="0"/>
        <w:jc w:val="both"/>
        <w:rPr>
          <w:rStyle w:val="rvts41"/>
          <w:rFonts w:eastAsia="PMingLiU"/>
          <w:sz w:val="23"/>
          <w:szCs w:val="23"/>
        </w:rPr>
      </w:pPr>
      <w:r w:rsidRPr="00653B52">
        <w:rPr>
          <w:rStyle w:val="rvts41"/>
          <w:rFonts w:eastAsia="PMingLiU"/>
          <w:sz w:val="23"/>
          <w:szCs w:val="23"/>
        </w:rPr>
        <w:t xml:space="preserve">1.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Constituţia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României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republicată</w:t>
      </w:r>
      <w:proofErr w:type="spellEnd"/>
      <w:r w:rsidRPr="00653B52">
        <w:rPr>
          <w:rStyle w:val="rvts41"/>
          <w:rFonts w:eastAsia="PMingLiU"/>
          <w:sz w:val="23"/>
          <w:szCs w:val="23"/>
        </w:rPr>
        <w:t>/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Titlul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I -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Titlul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III (art.1-art.134);</w:t>
      </w:r>
    </w:p>
    <w:p w14:paraId="268D3CD7" w14:textId="77777777" w:rsidR="00FF0A94" w:rsidRPr="00653B52" w:rsidRDefault="00FF0A94" w:rsidP="00FF0A94">
      <w:pPr>
        <w:pStyle w:val="rvps1"/>
        <w:shd w:val="clear" w:color="auto" w:fill="FFFFFF"/>
        <w:spacing w:before="0" w:beforeAutospacing="0" w:after="0" w:afterAutospacing="0"/>
        <w:ind w:right="-455"/>
        <w:jc w:val="both"/>
        <w:rPr>
          <w:rStyle w:val="rvts41"/>
          <w:rFonts w:eastAsia="PMingLiU"/>
          <w:sz w:val="23"/>
          <w:szCs w:val="23"/>
        </w:rPr>
      </w:pPr>
      <w:r w:rsidRPr="00653B52">
        <w:rPr>
          <w:rStyle w:val="rvts41"/>
          <w:rFonts w:eastAsia="PMingLiU"/>
          <w:sz w:val="23"/>
          <w:szCs w:val="23"/>
        </w:rPr>
        <w:t xml:space="preserve">2.Titlul I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II ale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părţii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a VI-a din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Ordonanţa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de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urgenţă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a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Guvernului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nr. 57/2019</w:t>
      </w:r>
      <w:r w:rsidRPr="00D836BC">
        <w:rPr>
          <w:rStyle w:val="rvts41"/>
          <w:sz w:val="23"/>
          <w:szCs w:val="23"/>
        </w:rPr>
        <w:t xml:space="preserve"> </w:t>
      </w:r>
      <w:proofErr w:type="spellStart"/>
      <w:r w:rsidRPr="00653B52">
        <w:rPr>
          <w:rStyle w:val="rvts41"/>
          <w:sz w:val="23"/>
          <w:szCs w:val="23"/>
        </w:rPr>
        <w:t>privind</w:t>
      </w:r>
      <w:proofErr w:type="spellEnd"/>
      <w:r w:rsidRPr="00653B52">
        <w:rPr>
          <w:rStyle w:val="rvts41"/>
          <w:sz w:val="23"/>
          <w:szCs w:val="23"/>
        </w:rPr>
        <w:t xml:space="preserve"> </w:t>
      </w:r>
      <w:proofErr w:type="spellStart"/>
      <w:r w:rsidRPr="00653B52">
        <w:rPr>
          <w:rStyle w:val="rvts41"/>
          <w:sz w:val="23"/>
          <w:szCs w:val="23"/>
        </w:rPr>
        <w:t>Codul</w:t>
      </w:r>
      <w:proofErr w:type="spellEnd"/>
      <w:r w:rsidRPr="00653B52">
        <w:rPr>
          <w:rStyle w:val="rvts41"/>
          <w:sz w:val="23"/>
          <w:szCs w:val="23"/>
        </w:rPr>
        <w:t xml:space="preserve"> </w:t>
      </w:r>
      <w:proofErr w:type="spellStart"/>
      <w:r w:rsidRPr="00653B52">
        <w:rPr>
          <w:rStyle w:val="rvts41"/>
          <w:sz w:val="23"/>
          <w:szCs w:val="23"/>
        </w:rPr>
        <w:t>administrativ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cu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modificările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completările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ulterioare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; </w:t>
      </w:r>
    </w:p>
    <w:p w14:paraId="1363CBD1" w14:textId="77777777" w:rsidR="00FF0A94" w:rsidRPr="00653B52" w:rsidRDefault="00FF0A94" w:rsidP="00FF0A94">
      <w:pPr>
        <w:pStyle w:val="rvps1"/>
        <w:shd w:val="clear" w:color="auto" w:fill="FFFFFF"/>
        <w:spacing w:before="0" w:beforeAutospacing="0" w:after="0" w:afterAutospacing="0"/>
        <w:ind w:right="-455"/>
        <w:jc w:val="both"/>
        <w:rPr>
          <w:rStyle w:val="rvts41"/>
          <w:rFonts w:eastAsia="PMingLiU"/>
          <w:sz w:val="23"/>
          <w:szCs w:val="23"/>
        </w:rPr>
      </w:pPr>
      <w:r w:rsidRPr="00653B52">
        <w:rPr>
          <w:rStyle w:val="rvts41"/>
          <w:rFonts w:eastAsia="PMingLiU"/>
          <w:sz w:val="23"/>
          <w:szCs w:val="23"/>
        </w:rPr>
        <w:t xml:space="preserve">3.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Ordonanţa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Guvernului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nr. 137/2000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privind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prevenirea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sancţionarea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tuturor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formelor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de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discriminare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republicată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cu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modificările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completările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ulterioare</w:t>
      </w:r>
      <w:proofErr w:type="spellEnd"/>
      <w:r w:rsidRPr="00653B52">
        <w:rPr>
          <w:rStyle w:val="rvts41"/>
          <w:rFonts w:eastAsia="PMingLiU"/>
          <w:sz w:val="23"/>
          <w:szCs w:val="23"/>
        </w:rPr>
        <w:t>:</w:t>
      </w:r>
    </w:p>
    <w:p w14:paraId="768EBDE1" w14:textId="77777777" w:rsidR="00FF0A94" w:rsidRPr="00653B52" w:rsidRDefault="00FF0A94" w:rsidP="00FF0A94">
      <w:pPr>
        <w:shd w:val="clear" w:color="auto" w:fill="FFFFFF"/>
        <w:ind w:right="-455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 - Principii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definiţii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;</w:t>
      </w:r>
    </w:p>
    <w:p w14:paraId="5D176057" w14:textId="77777777" w:rsidR="00FF0A94" w:rsidRPr="00653B52" w:rsidRDefault="00FF0A94" w:rsidP="00FF0A94">
      <w:pPr>
        <w:shd w:val="clear" w:color="auto" w:fill="FFFFFF"/>
        <w:ind w:right="-455"/>
        <w:jc w:val="both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II 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Dispoziţii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proofErr w:type="gram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speciale:Secţiunea</w:t>
      </w:r>
      <w:proofErr w:type="spellEnd"/>
      <w:proofErr w:type="gram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I-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Egalitatea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activitatea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economică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materie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angajare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profesie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Secţiunea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 II-a-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Accesul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serviciile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publice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administrative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juridice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sănătate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alte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servicii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bunuri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facilităţi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Secţiun</w:t>
      </w:r>
      <w:r>
        <w:rPr>
          <w:rFonts w:eastAsia="Times New Roman"/>
          <w:bCs/>
          <w:color w:val="000000"/>
          <w:sz w:val="23"/>
          <w:szCs w:val="23"/>
          <w:lang w:val="en-US" w:eastAsia="en-US"/>
        </w:rPr>
        <w:t>ea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 III-a-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Accesul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>educaţie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Secţiunea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 IV-a-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Libertatea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circulaţie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dreptul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libera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alegere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domiciliului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accesul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locurile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publice</w:t>
      </w:r>
      <w:proofErr w:type="spellEnd"/>
      <w:r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Secţiunea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a V-a-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Dreptul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demnitatea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personală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.</w:t>
      </w:r>
    </w:p>
    <w:p w14:paraId="64D7D055" w14:textId="77777777" w:rsidR="00FF0A94" w:rsidRPr="00653B52" w:rsidRDefault="00FF0A94" w:rsidP="00FF0A94">
      <w:pPr>
        <w:pStyle w:val="rvps1"/>
        <w:shd w:val="clear" w:color="auto" w:fill="FFFFFF"/>
        <w:spacing w:before="0" w:beforeAutospacing="0" w:after="0" w:afterAutospacing="0"/>
        <w:ind w:right="-455"/>
        <w:jc w:val="both"/>
        <w:rPr>
          <w:rStyle w:val="rvts41"/>
          <w:rFonts w:eastAsia="PMingLiU"/>
          <w:sz w:val="23"/>
          <w:szCs w:val="23"/>
        </w:rPr>
      </w:pPr>
      <w:r w:rsidRPr="00653B52">
        <w:rPr>
          <w:rStyle w:val="rvts41"/>
          <w:rFonts w:eastAsia="PMingLiU"/>
          <w:sz w:val="23"/>
          <w:szCs w:val="23"/>
        </w:rPr>
        <w:t xml:space="preserve">4.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Legea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nr. 202/2002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privind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egalitatea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de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şanse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de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tratament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între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femei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bărbaţi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republicată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, cu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modificările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şi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completările</w:t>
      </w:r>
      <w:proofErr w:type="spellEnd"/>
      <w:r w:rsidRPr="00653B52">
        <w:rPr>
          <w:rStyle w:val="rvts41"/>
          <w:rFonts w:eastAsia="PMingLiU"/>
          <w:sz w:val="23"/>
          <w:szCs w:val="23"/>
        </w:rPr>
        <w:t xml:space="preserve"> </w:t>
      </w:r>
      <w:proofErr w:type="spellStart"/>
      <w:r w:rsidRPr="00653B52">
        <w:rPr>
          <w:rStyle w:val="rvts41"/>
          <w:rFonts w:eastAsia="PMingLiU"/>
          <w:sz w:val="23"/>
          <w:szCs w:val="23"/>
        </w:rPr>
        <w:t>ulterioare</w:t>
      </w:r>
      <w:proofErr w:type="spellEnd"/>
      <w:r w:rsidRPr="00653B52">
        <w:rPr>
          <w:rStyle w:val="rvts41"/>
          <w:rFonts w:eastAsia="PMingLiU"/>
          <w:sz w:val="23"/>
          <w:szCs w:val="23"/>
        </w:rPr>
        <w:t>;</w:t>
      </w:r>
    </w:p>
    <w:p w14:paraId="466027D7" w14:textId="77777777" w:rsidR="00FF0A94" w:rsidRPr="00653B52" w:rsidRDefault="00FF0A94" w:rsidP="00FF0A94">
      <w:pPr>
        <w:shd w:val="clear" w:color="auto" w:fill="FFFFFF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 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Dispoziţii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generale</w:t>
      </w:r>
    </w:p>
    <w:p w14:paraId="71E55093" w14:textId="77777777" w:rsidR="00FF0A94" w:rsidRPr="00653B52" w:rsidRDefault="00FF0A94" w:rsidP="00FF0A94">
      <w:pPr>
        <w:shd w:val="clear" w:color="auto" w:fill="FFFFFF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II 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Egalitatea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şanse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tratament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între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femei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bărbaţi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domeniul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muncii</w:t>
      </w:r>
      <w:proofErr w:type="spellEnd"/>
    </w:p>
    <w:p w14:paraId="0550FFB5" w14:textId="77777777" w:rsidR="00FF0A94" w:rsidRPr="00653B52" w:rsidRDefault="00FF0A94" w:rsidP="00FF0A94">
      <w:pPr>
        <w:shd w:val="clear" w:color="auto" w:fill="FFFFFF"/>
        <w:ind w:right="-455"/>
        <w:jc w:val="both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III 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Egalitatea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şanse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tratament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ceea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priveşte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accesul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educaţie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sănătate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,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cultură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informare</w:t>
      </w:r>
      <w:proofErr w:type="spellEnd"/>
    </w:p>
    <w:p w14:paraId="0F6E703D" w14:textId="77777777" w:rsidR="00FF0A94" w:rsidRDefault="00FF0A94" w:rsidP="00FF0A94">
      <w:pPr>
        <w:shd w:val="clear" w:color="auto" w:fill="FFFFFF"/>
        <w:ind w:right="-455"/>
        <w:jc w:val="both"/>
        <w:rPr>
          <w:rFonts w:eastAsia="Times New Roman"/>
          <w:bCs/>
          <w:color w:val="000000"/>
          <w:sz w:val="23"/>
          <w:szCs w:val="23"/>
          <w:lang w:val="en-US" w:eastAsia="en-US"/>
        </w:rPr>
      </w:pPr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Cap. IV -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Egalitatea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de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şanse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între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femei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şi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bărbaţi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în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ceea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ce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priveşte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participarea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la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luarea</w:t>
      </w:r>
      <w:proofErr w:type="spellEnd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53B52">
        <w:rPr>
          <w:rFonts w:eastAsia="Times New Roman"/>
          <w:bCs/>
          <w:color w:val="000000"/>
          <w:sz w:val="23"/>
          <w:szCs w:val="23"/>
          <w:lang w:val="en-US" w:eastAsia="en-US"/>
        </w:rPr>
        <w:t>deciziei</w:t>
      </w:r>
      <w:proofErr w:type="spellEnd"/>
    </w:p>
    <w:p w14:paraId="5F496C26" w14:textId="77777777" w:rsidR="006B402B" w:rsidRDefault="00FF0A94" w:rsidP="008E3E1A">
      <w:pPr>
        <w:shd w:val="clear" w:color="auto" w:fill="FFFFFF"/>
        <w:ind w:right="-455"/>
        <w:jc w:val="both"/>
        <w:rPr>
          <w:rStyle w:val="rvts41"/>
          <w:lang w:val="en-US"/>
        </w:rPr>
      </w:pPr>
      <w:r w:rsidRPr="006D746D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5. </w:t>
      </w:r>
      <w:r w:rsidR="008E3E1A" w:rsidRPr="008E3E1A">
        <w:rPr>
          <w:bCs/>
        </w:rPr>
        <w:t xml:space="preserve">Hotărârea nr. 430/2008 pentru aprobarea Metodologiei privind organizarea </w:t>
      </w:r>
      <w:proofErr w:type="spellStart"/>
      <w:r w:rsidR="008E3E1A" w:rsidRPr="008E3E1A">
        <w:rPr>
          <w:bCs/>
        </w:rPr>
        <w:t>şi</w:t>
      </w:r>
      <w:proofErr w:type="spellEnd"/>
      <w:r w:rsidR="008E3E1A" w:rsidRPr="008E3E1A">
        <w:rPr>
          <w:bCs/>
        </w:rPr>
        <w:t xml:space="preserve"> </w:t>
      </w:r>
      <w:proofErr w:type="spellStart"/>
      <w:r w:rsidR="008E3E1A" w:rsidRPr="008E3E1A">
        <w:rPr>
          <w:bCs/>
        </w:rPr>
        <w:t>funcţionarea</w:t>
      </w:r>
      <w:proofErr w:type="spellEnd"/>
      <w:r w:rsidR="008E3E1A" w:rsidRPr="008E3E1A">
        <w:rPr>
          <w:bCs/>
        </w:rPr>
        <w:t xml:space="preserve"> comisiei de evaluare a persoanelor adulte cu handicap</w:t>
      </w:r>
      <w:r w:rsidR="008E3E1A">
        <w:rPr>
          <w:bCs/>
        </w:rPr>
        <w:t xml:space="preserve">, </w:t>
      </w:r>
      <w:r w:rsidR="008E3E1A" w:rsidRPr="005D022C">
        <w:rPr>
          <w:rStyle w:val="rvts41"/>
          <w:lang w:val="en-US"/>
        </w:rPr>
        <w:t xml:space="preserve">cu </w:t>
      </w:r>
      <w:proofErr w:type="spellStart"/>
      <w:r w:rsidR="008E3E1A" w:rsidRPr="005D022C">
        <w:rPr>
          <w:rStyle w:val="rvts41"/>
          <w:lang w:val="en-US"/>
        </w:rPr>
        <w:t>modificările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şi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completările</w:t>
      </w:r>
      <w:proofErr w:type="spellEnd"/>
      <w:r w:rsidR="008E3E1A" w:rsidRPr="005D022C">
        <w:rPr>
          <w:rStyle w:val="rvts41"/>
          <w:lang w:val="en-US"/>
        </w:rPr>
        <w:t xml:space="preserve"> </w:t>
      </w:r>
      <w:proofErr w:type="spellStart"/>
      <w:r w:rsidR="008E3E1A" w:rsidRPr="005D022C">
        <w:rPr>
          <w:rStyle w:val="rvts41"/>
          <w:lang w:val="en-US"/>
        </w:rPr>
        <w:t>ulterioare</w:t>
      </w:r>
      <w:proofErr w:type="spellEnd"/>
      <w:r w:rsidR="006B402B">
        <w:rPr>
          <w:rStyle w:val="rvts41"/>
          <w:lang w:val="en-US"/>
        </w:rPr>
        <w:t>:</w:t>
      </w:r>
    </w:p>
    <w:p w14:paraId="4C3673BB" w14:textId="1E21583E" w:rsidR="006B402B" w:rsidRPr="006B402B" w:rsidRDefault="006B402B" w:rsidP="006B402B">
      <w:pPr>
        <w:shd w:val="clear" w:color="auto" w:fill="FFFFFF"/>
        <w:ind w:right="-455"/>
        <w:jc w:val="both"/>
      </w:pPr>
      <w:r w:rsidRPr="006B402B">
        <w:lastRenderedPageBreak/>
        <w:t>Anexă/</w:t>
      </w:r>
      <w:bookmarkStart w:id="0" w:name="4603826"/>
      <w:bookmarkEnd w:id="0"/>
      <w:r w:rsidRPr="006B402B">
        <w:t xml:space="preserve">METODOLOGIE privind organizarea </w:t>
      </w:r>
      <w:proofErr w:type="spellStart"/>
      <w:r w:rsidRPr="006B402B">
        <w:t>şi</w:t>
      </w:r>
      <w:proofErr w:type="spellEnd"/>
      <w:r w:rsidRPr="006B402B">
        <w:t xml:space="preserve"> </w:t>
      </w:r>
      <w:proofErr w:type="spellStart"/>
      <w:r w:rsidRPr="006B402B">
        <w:t>funcţionarea</w:t>
      </w:r>
      <w:proofErr w:type="spellEnd"/>
      <w:r w:rsidRPr="006B402B">
        <w:t xml:space="preserve"> comisiei de evaluare a persoanelor adulte cu handicap</w:t>
      </w:r>
    </w:p>
    <w:p w14:paraId="78C2F792" w14:textId="329E426E" w:rsidR="00846835" w:rsidRDefault="008E3E1A" w:rsidP="008E3E1A">
      <w:pPr>
        <w:shd w:val="clear" w:color="auto" w:fill="FFFFFF"/>
        <w:ind w:right="-455"/>
        <w:jc w:val="both"/>
        <w:rPr>
          <w:rStyle w:val="rvts41"/>
          <w:lang w:val="en-US"/>
        </w:rPr>
      </w:pPr>
      <w:r w:rsidRPr="005D022C">
        <w:rPr>
          <w:rStyle w:val="rvts41"/>
        </w:rPr>
        <w:t xml:space="preserve"> </w:t>
      </w:r>
      <w:r w:rsidR="00FF0A94" w:rsidRPr="006D746D">
        <w:rPr>
          <w:rFonts w:eastAsia="Times New Roman"/>
          <w:bCs/>
          <w:color w:val="000000"/>
          <w:sz w:val="23"/>
          <w:szCs w:val="23"/>
          <w:lang w:val="en-US" w:eastAsia="en-US"/>
        </w:rPr>
        <w:t xml:space="preserve">6. </w:t>
      </w:r>
      <w:r w:rsidRPr="008E3E1A">
        <w:rPr>
          <w:bCs/>
        </w:rPr>
        <w:t xml:space="preserve">Legea nr. 448/2006 privind </w:t>
      </w:r>
      <w:proofErr w:type="spellStart"/>
      <w:r w:rsidRPr="008E3E1A">
        <w:rPr>
          <w:bCs/>
        </w:rPr>
        <w:t>protecţia</w:t>
      </w:r>
      <w:proofErr w:type="spellEnd"/>
      <w:r w:rsidRPr="008E3E1A">
        <w:rPr>
          <w:bCs/>
        </w:rPr>
        <w:t xml:space="preserve"> </w:t>
      </w:r>
      <w:proofErr w:type="spellStart"/>
      <w:r w:rsidRPr="008E3E1A">
        <w:rPr>
          <w:bCs/>
        </w:rPr>
        <w:t>şi</w:t>
      </w:r>
      <w:proofErr w:type="spellEnd"/>
      <w:r w:rsidRPr="008E3E1A">
        <w:rPr>
          <w:bCs/>
        </w:rPr>
        <w:t xml:space="preserve"> promovarea  drepturilor  persoanelor cu handicap, republicată</w:t>
      </w:r>
      <w:r>
        <w:rPr>
          <w:bCs/>
        </w:rPr>
        <w:t xml:space="preserve">, </w:t>
      </w:r>
      <w:r w:rsidRPr="005D022C">
        <w:rPr>
          <w:rStyle w:val="rvts41"/>
          <w:lang w:val="en-US"/>
        </w:rPr>
        <w:t xml:space="preserve">cu </w:t>
      </w:r>
      <w:proofErr w:type="spellStart"/>
      <w:r w:rsidRPr="005D022C">
        <w:rPr>
          <w:rStyle w:val="rvts41"/>
          <w:lang w:val="en-US"/>
        </w:rPr>
        <w:t>modificările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şi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completările</w:t>
      </w:r>
      <w:proofErr w:type="spellEnd"/>
      <w:r w:rsidRPr="005D022C">
        <w:rPr>
          <w:rStyle w:val="rvts41"/>
          <w:lang w:val="en-US"/>
        </w:rPr>
        <w:t xml:space="preserve"> </w:t>
      </w:r>
      <w:proofErr w:type="spellStart"/>
      <w:r w:rsidRPr="005D022C">
        <w:rPr>
          <w:rStyle w:val="rvts41"/>
          <w:lang w:val="en-US"/>
        </w:rPr>
        <w:t>ulterioare</w:t>
      </w:r>
      <w:proofErr w:type="spellEnd"/>
      <w:r w:rsidR="00A701DF">
        <w:rPr>
          <w:rStyle w:val="rvts41"/>
          <w:lang w:val="en-US"/>
        </w:rPr>
        <w:t>:</w:t>
      </w:r>
    </w:p>
    <w:p w14:paraId="469213D3" w14:textId="65F74044" w:rsidR="00A701DF" w:rsidRPr="001C6450" w:rsidRDefault="00A701DF" w:rsidP="00A701DF">
      <w:pPr>
        <w:shd w:val="clear" w:color="auto" w:fill="FFFFFF"/>
        <w:ind w:right="-455"/>
        <w:jc w:val="both"/>
      </w:pPr>
      <w:r w:rsidRPr="00A701DF">
        <w:t>Cap. II</w:t>
      </w:r>
      <w:r w:rsidRPr="001C6450">
        <w:t>/</w:t>
      </w:r>
      <w:r w:rsidRPr="00A701DF">
        <w:t>Drepturile persoanelor cu handicap</w:t>
      </w:r>
    </w:p>
    <w:p w14:paraId="75073E55" w14:textId="253340EA" w:rsidR="00C66832" w:rsidRPr="001C6450" w:rsidRDefault="00C66832" w:rsidP="00C66832">
      <w:pPr>
        <w:shd w:val="clear" w:color="auto" w:fill="FFFFFF"/>
        <w:ind w:right="-455"/>
        <w:jc w:val="both"/>
      </w:pPr>
      <w:r w:rsidRPr="00C66832">
        <w:t>Cap. III</w:t>
      </w:r>
      <w:r w:rsidRPr="001C6450">
        <w:t>/</w:t>
      </w:r>
      <w:r w:rsidRPr="00C66832">
        <w:t xml:space="preserve"> Servicii </w:t>
      </w:r>
      <w:proofErr w:type="spellStart"/>
      <w:r w:rsidRPr="00C66832">
        <w:t>şi</w:t>
      </w:r>
      <w:proofErr w:type="spellEnd"/>
      <w:r w:rsidRPr="00C66832">
        <w:t xml:space="preserve"> </w:t>
      </w:r>
      <w:proofErr w:type="spellStart"/>
      <w:r w:rsidRPr="00C66832">
        <w:t>prestaţii</w:t>
      </w:r>
      <w:proofErr w:type="spellEnd"/>
      <w:r w:rsidRPr="00C66832">
        <w:t xml:space="preserve"> sociale</w:t>
      </w:r>
    </w:p>
    <w:p w14:paraId="39823BEA" w14:textId="13E09079" w:rsidR="00D94DFF" w:rsidRPr="00D94DFF" w:rsidRDefault="00D94DFF" w:rsidP="00D94DFF">
      <w:pPr>
        <w:shd w:val="clear" w:color="auto" w:fill="FFFFFF"/>
        <w:ind w:right="-455"/>
        <w:jc w:val="both"/>
      </w:pPr>
      <w:r w:rsidRPr="00D94DFF">
        <w:t>Cap. IV</w:t>
      </w:r>
      <w:r w:rsidRPr="001C6450">
        <w:t>/</w:t>
      </w:r>
      <w:r w:rsidRPr="00D94DFF">
        <w:t>Accesibilitate</w:t>
      </w:r>
    </w:p>
    <w:p w14:paraId="19FCA5A5" w14:textId="67D2CCB7" w:rsidR="00BF56AA" w:rsidRPr="00BF56AA" w:rsidRDefault="00BF56AA" w:rsidP="00BF56AA">
      <w:pPr>
        <w:shd w:val="clear" w:color="auto" w:fill="FFFFFF"/>
        <w:ind w:right="-455"/>
        <w:jc w:val="both"/>
      </w:pPr>
      <w:r w:rsidRPr="00BF56AA">
        <w:t>Cap. VI</w:t>
      </w:r>
      <w:r w:rsidRPr="001C6450">
        <w:t>/</w:t>
      </w:r>
      <w:r w:rsidRPr="00BF56AA">
        <w:t xml:space="preserve"> Încadrarea în grad de handicap</w:t>
      </w:r>
    </w:p>
    <w:p w14:paraId="6DB22375" w14:textId="015453A6" w:rsidR="00A14A63" w:rsidRPr="00A14A63" w:rsidRDefault="00A14A63" w:rsidP="00A14A63">
      <w:pPr>
        <w:shd w:val="clear" w:color="auto" w:fill="FFFFFF"/>
        <w:ind w:right="-455"/>
        <w:jc w:val="both"/>
      </w:pPr>
      <w:r w:rsidRPr="00A14A63">
        <w:t>Cap. VIII</w:t>
      </w:r>
      <w:r w:rsidRPr="001C6450">
        <w:t>/</w:t>
      </w:r>
      <w:proofErr w:type="spellStart"/>
      <w:r w:rsidRPr="00A14A63">
        <w:t>Finanţarea</w:t>
      </w:r>
      <w:proofErr w:type="spellEnd"/>
      <w:r w:rsidRPr="00A14A63">
        <w:t xml:space="preserve"> sistemului de </w:t>
      </w:r>
      <w:proofErr w:type="spellStart"/>
      <w:r w:rsidRPr="00A14A63">
        <w:t>protecţie</w:t>
      </w:r>
      <w:proofErr w:type="spellEnd"/>
      <w:r w:rsidRPr="00A14A63">
        <w:t xml:space="preserve"> a persoanelor cu handicap</w:t>
      </w:r>
    </w:p>
    <w:p w14:paraId="57B028D4" w14:textId="77777777" w:rsidR="00734724" w:rsidRPr="00A701DF" w:rsidRDefault="00734724" w:rsidP="00A701DF">
      <w:pPr>
        <w:shd w:val="clear" w:color="auto" w:fill="FFFFFF"/>
        <w:ind w:right="-455"/>
        <w:jc w:val="both"/>
      </w:pPr>
    </w:p>
    <w:p w14:paraId="1E796AAB" w14:textId="77777777" w:rsidR="00A701DF" w:rsidRDefault="00A701DF" w:rsidP="008E3E1A">
      <w:pPr>
        <w:shd w:val="clear" w:color="auto" w:fill="FFFFFF"/>
        <w:ind w:right="-455"/>
        <w:jc w:val="both"/>
        <w:rPr>
          <w:rStyle w:val="rvts41"/>
          <w:lang w:val="en-US"/>
        </w:rPr>
      </w:pPr>
    </w:p>
    <w:p w14:paraId="1613AEA5" w14:textId="57005BBD" w:rsidR="00D53FB0" w:rsidRDefault="00D53FB0" w:rsidP="00D53FB0">
      <w:pPr>
        <w:ind w:right="-180"/>
        <w:jc w:val="both"/>
        <w:rPr>
          <w:b/>
          <w:iCs/>
        </w:rPr>
      </w:pPr>
      <w:r w:rsidRPr="00846835">
        <w:rPr>
          <w:b/>
        </w:rPr>
        <w:t xml:space="preserve">ATRIBUȚIILE SPECIFICE PREVĂZUTE ÎN FIȘA POSTULUI AFERENTE FUNCȚIEI PUBLICE DE EXECUTIE DE CONSILIER, CLASA I, GRAD PROFESIONAL </w:t>
      </w:r>
      <w:r>
        <w:rPr>
          <w:b/>
          <w:bCs/>
          <w:iCs/>
        </w:rPr>
        <w:t xml:space="preserve">SUPERIOR </w:t>
      </w:r>
      <w:r w:rsidRPr="001F75E9">
        <w:rPr>
          <w:b/>
          <w:bCs/>
          <w:iCs/>
        </w:rPr>
        <w:t xml:space="preserve">LA </w:t>
      </w:r>
      <w:r w:rsidRPr="001F75E9">
        <w:rPr>
          <w:b/>
          <w:bCs/>
        </w:rPr>
        <w:t xml:space="preserve"> </w:t>
      </w:r>
      <w:r w:rsidRPr="008E3E1A">
        <w:rPr>
          <w:b/>
          <w:iCs/>
        </w:rPr>
        <w:t>COMPARTIMENTUL COMISIILOR DE SPECIALITATE DIN CADRUL SERVICIULUI REZIDENȚIAL ADULȚI  ȘI  AL COMISIILOR DE SPECIALITATE</w:t>
      </w:r>
    </w:p>
    <w:p w14:paraId="11648DE0" w14:textId="0C1FBFD2" w:rsidR="00D53FB0" w:rsidRDefault="00D53FB0" w:rsidP="00D53FB0">
      <w:pPr>
        <w:ind w:right="-180"/>
        <w:jc w:val="both"/>
        <w:rPr>
          <w:b/>
          <w:bCs/>
          <w:sz w:val="28"/>
          <w:szCs w:val="28"/>
        </w:rPr>
      </w:pPr>
    </w:p>
    <w:p w14:paraId="12B4D0A3" w14:textId="77777777" w:rsidR="00DF29CC" w:rsidRPr="00DF29CC" w:rsidRDefault="00DF29CC" w:rsidP="00DF29CC">
      <w:pPr>
        <w:numPr>
          <w:ilvl w:val="0"/>
          <w:numId w:val="3"/>
        </w:numPr>
        <w:tabs>
          <w:tab w:val="num" w:pos="0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informează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îndrumă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orice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persoană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fizică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sau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juridică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interesată</w:t>
      </w:r>
      <w:proofErr w:type="spellEnd"/>
      <w:r w:rsidRPr="00DF29CC">
        <w:rPr>
          <w:b/>
          <w:bCs/>
          <w:i/>
          <w:lang w:val="en-US"/>
        </w:rPr>
        <w:t xml:space="preserve"> cu </w:t>
      </w:r>
      <w:proofErr w:type="spellStart"/>
      <w:r w:rsidRPr="00DF29CC">
        <w:rPr>
          <w:b/>
          <w:bCs/>
          <w:i/>
          <w:lang w:val="en-US"/>
        </w:rPr>
        <w:t>privire</w:t>
      </w:r>
      <w:proofErr w:type="spellEnd"/>
      <w:r w:rsidRPr="00DF29CC">
        <w:rPr>
          <w:b/>
          <w:bCs/>
          <w:i/>
          <w:lang w:val="en-US"/>
        </w:rPr>
        <w:t xml:space="preserve"> la </w:t>
      </w:r>
      <w:proofErr w:type="spellStart"/>
      <w:r w:rsidRPr="00DF29CC">
        <w:rPr>
          <w:b/>
          <w:bCs/>
          <w:i/>
          <w:lang w:val="en-US"/>
        </w:rPr>
        <w:t>modalitatea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încadrare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într</w:t>
      </w:r>
      <w:proofErr w:type="spellEnd"/>
      <w:r w:rsidRPr="00DF29CC">
        <w:rPr>
          <w:b/>
          <w:bCs/>
          <w:i/>
          <w:lang w:val="en-US"/>
        </w:rPr>
        <w:t>-un grad de handicap (</w:t>
      </w:r>
      <w:proofErr w:type="spellStart"/>
      <w:r w:rsidRPr="00DF29CC">
        <w:rPr>
          <w:b/>
          <w:bCs/>
          <w:i/>
          <w:lang w:val="en-US"/>
        </w:rPr>
        <w:t>copii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sau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adulţi</w:t>
      </w:r>
      <w:proofErr w:type="spellEnd"/>
      <w:r w:rsidRPr="00DF29CC">
        <w:rPr>
          <w:b/>
          <w:bCs/>
          <w:i/>
          <w:lang w:val="en-US"/>
        </w:rPr>
        <w:t xml:space="preserve">), cu </w:t>
      </w:r>
      <w:proofErr w:type="spellStart"/>
      <w:r w:rsidRPr="00DF29CC">
        <w:rPr>
          <w:b/>
          <w:bCs/>
          <w:i/>
          <w:lang w:val="en-US"/>
        </w:rPr>
        <w:t>privire</w:t>
      </w:r>
      <w:proofErr w:type="spellEnd"/>
      <w:r w:rsidRPr="00DF29CC">
        <w:rPr>
          <w:b/>
          <w:bCs/>
          <w:i/>
          <w:lang w:val="en-US"/>
        </w:rPr>
        <w:t xml:space="preserve"> la </w:t>
      </w:r>
      <w:proofErr w:type="spellStart"/>
      <w:r w:rsidRPr="00DF29CC">
        <w:rPr>
          <w:b/>
          <w:bCs/>
          <w:i/>
          <w:lang w:val="en-US"/>
        </w:rPr>
        <w:t>internarea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centre</w:t>
      </w:r>
      <w:proofErr w:type="spellEnd"/>
      <w:r w:rsidRPr="00DF29CC">
        <w:rPr>
          <w:b/>
          <w:bCs/>
          <w:i/>
          <w:lang w:val="en-US"/>
        </w:rPr>
        <w:t xml:space="preserve"> de tip </w:t>
      </w:r>
      <w:proofErr w:type="spellStart"/>
      <w:r w:rsidRPr="00DF29CC">
        <w:rPr>
          <w:b/>
          <w:bCs/>
          <w:i/>
          <w:lang w:val="en-US"/>
        </w:rPr>
        <w:t>rezidenţial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persoane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adulte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privind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drepturile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băneşti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contestaţii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etc</w:t>
      </w:r>
      <w:proofErr w:type="spellEnd"/>
      <w:r w:rsidRPr="00DF29CC">
        <w:rPr>
          <w:b/>
          <w:bCs/>
          <w:i/>
          <w:lang w:val="en-US"/>
        </w:rPr>
        <w:t xml:space="preserve">;  </w:t>
      </w:r>
    </w:p>
    <w:p w14:paraId="3DB4CB37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înregistrează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toate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cazurile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prezentate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CEPAH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registrul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intrări</w:t>
      </w:r>
      <w:proofErr w:type="spellEnd"/>
      <w:r w:rsidRPr="00DF29CC">
        <w:rPr>
          <w:b/>
          <w:bCs/>
          <w:i/>
          <w:lang w:val="en-US"/>
        </w:rPr>
        <w:t>/</w:t>
      </w:r>
      <w:proofErr w:type="spellStart"/>
      <w:r w:rsidRPr="00DF29CC">
        <w:rPr>
          <w:b/>
          <w:bCs/>
          <w:i/>
          <w:lang w:val="en-US"/>
        </w:rPr>
        <w:t>ieşiri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și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registrul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procese</w:t>
      </w:r>
      <w:proofErr w:type="spellEnd"/>
      <w:r w:rsidRPr="00DF29CC">
        <w:rPr>
          <w:b/>
          <w:bCs/>
          <w:i/>
          <w:lang w:val="en-US"/>
        </w:rPr>
        <w:t>-verbale;</w:t>
      </w:r>
    </w:p>
    <w:p w14:paraId="5BE4DA31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gestionează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registrul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care sunt </w:t>
      </w:r>
      <w:proofErr w:type="spellStart"/>
      <w:r w:rsidRPr="00DF29CC">
        <w:rPr>
          <w:b/>
          <w:bCs/>
          <w:i/>
          <w:lang w:val="en-US"/>
        </w:rPr>
        <w:t>înregistrate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deciziile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admitere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menţinere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înlocuire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revocare</w:t>
      </w:r>
      <w:proofErr w:type="spellEnd"/>
      <w:r w:rsidRPr="00DF29CC">
        <w:rPr>
          <w:b/>
          <w:bCs/>
          <w:i/>
          <w:lang w:val="en-US"/>
        </w:rPr>
        <w:t xml:space="preserve"> e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centre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rezidenţiale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adulţi</w:t>
      </w:r>
      <w:proofErr w:type="spellEnd"/>
      <w:r w:rsidRPr="00DF29CC">
        <w:rPr>
          <w:b/>
          <w:bCs/>
          <w:i/>
          <w:lang w:val="en-US"/>
        </w:rPr>
        <w:t xml:space="preserve"> din </w:t>
      </w:r>
      <w:proofErr w:type="spellStart"/>
      <w:r w:rsidRPr="00DF29CC">
        <w:rPr>
          <w:b/>
          <w:bCs/>
          <w:i/>
          <w:lang w:val="en-US"/>
        </w:rPr>
        <w:t>subordinea</w:t>
      </w:r>
      <w:proofErr w:type="spellEnd"/>
      <w:r w:rsidRPr="00DF29CC">
        <w:rPr>
          <w:b/>
          <w:bCs/>
          <w:i/>
          <w:lang w:val="en-US"/>
        </w:rPr>
        <w:t xml:space="preserve"> D.G.A.S.P.C. Suceava;</w:t>
      </w:r>
    </w:p>
    <w:p w14:paraId="75936223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deciziile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admitere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menţinere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înlocuire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revocare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centre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rezidenţiale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adulţi</w:t>
      </w:r>
      <w:proofErr w:type="spellEnd"/>
      <w:r w:rsidRPr="00DF29CC">
        <w:rPr>
          <w:b/>
          <w:bCs/>
          <w:i/>
          <w:lang w:val="en-US"/>
        </w:rPr>
        <w:t xml:space="preserve"> din </w:t>
      </w:r>
      <w:proofErr w:type="spellStart"/>
      <w:r w:rsidRPr="00DF29CC">
        <w:rPr>
          <w:b/>
          <w:bCs/>
          <w:i/>
          <w:lang w:val="en-US"/>
        </w:rPr>
        <w:t>subordinea</w:t>
      </w:r>
      <w:proofErr w:type="spellEnd"/>
      <w:r w:rsidRPr="00DF29CC">
        <w:rPr>
          <w:b/>
          <w:bCs/>
          <w:i/>
          <w:lang w:val="en-US"/>
        </w:rPr>
        <w:t xml:space="preserve"> D.G.A.S.P.C. Suceava, </w:t>
      </w:r>
      <w:proofErr w:type="spellStart"/>
      <w:r w:rsidRPr="00DF29CC">
        <w:rPr>
          <w:b/>
          <w:bCs/>
          <w:i/>
          <w:lang w:val="en-US"/>
        </w:rPr>
        <w:t>după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aprobarea</w:t>
      </w:r>
      <w:proofErr w:type="spellEnd"/>
      <w:r w:rsidRPr="00DF29CC">
        <w:rPr>
          <w:b/>
          <w:bCs/>
          <w:i/>
          <w:lang w:val="en-US"/>
        </w:rPr>
        <w:t xml:space="preserve"> lor de </w:t>
      </w:r>
      <w:proofErr w:type="spellStart"/>
      <w:r w:rsidRPr="00DF29CC">
        <w:rPr>
          <w:b/>
          <w:bCs/>
          <w:i/>
          <w:lang w:val="en-US"/>
        </w:rPr>
        <w:t>către</w:t>
      </w:r>
      <w:proofErr w:type="spellEnd"/>
      <w:r w:rsidRPr="00DF29CC">
        <w:rPr>
          <w:b/>
          <w:bCs/>
          <w:i/>
          <w:lang w:val="en-US"/>
        </w:rPr>
        <w:t xml:space="preserve"> Comisia de </w:t>
      </w:r>
      <w:proofErr w:type="spellStart"/>
      <w:r w:rsidRPr="00DF29CC">
        <w:rPr>
          <w:b/>
          <w:bCs/>
          <w:i/>
          <w:lang w:val="en-US"/>
        </w:rPr>
        <w:t>evaluare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adulte</w:t>
      </w:r>
      <w:proofErr w:type="spellEnd"/>
      <w:r w:rsidRPr="00DF29CC">
        <w:rPr>
          <w:b/>
          <w:bCs/>
          <w:i/>
          <w:lang w:val="en-US"/>
        </w:rPr>
        <w:t xml:space="preserve"> cu handicap </w:t>
      </w:r>
      <w:proofErr w:type="gramStart"/>
      <w:r w:rsidRPr="00DF29CC">
        <w:rPr>
          <w:b/>
          <w:bCs/>
          <w:i/>
          <w:lang w:val="en-US"/>
        </w:rPr>
        <w:t>Suceava ;</w:t>
      </w:r>
      <w:proofErr w:type="gramEnd"/>
    </w:p>
    <w:p w14:paraId="3228DED6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eliberează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certificatele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încadrare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grad de handicap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care se </w:t>
      </w:r>
      <w:proofErr w:type="spellStart"/>
      <w:r w:rsidRPr="00DF29CC">
        <w:rPr>
          <w:b/>
          <w:bCs/>
          <w:i/>
          <w:lang w:val="en-US"/>
        </w:rPr>
        <w:t>prezintă</w:t>
      </w:r>
      <w:proofErr w:type="spellEnd"/>
      <w:r w:rsidRPr="00DF29CC">
        <w:rPr>
          <w:b/>
          <w:bCs/>
          <w:i/>
          <w:lang w:val="en-US"/>
        </w:rPr>
        <w:t xml:space="preserve"> personal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ridicarea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certificatului</w:t>
      </w:r>
      <w:proofErr w:type="spellEnd"/>
      <w:r w:rsidRPr="00DF29CC">
        <w:rPr>
          <w:b/>
          <w:bCs/>
          <w:i/>
          <w:lang w:val="en-US"/>
        </w:rPr>
        <w:t xml:space="preserve">. </w:t>
      </w:r>
      <w:proofErr w:type="spellStart"/>
      <w:r w:rsidRPr="00DF29CC">
        <w:rPr>
          <w:b/>
          <w:bCs/>
          <w:i/>
          <w:lang w:val="en-US"/>
        </w:rPr>
        <w:t>Predarea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certificatelor</w:t>
      </w:r>
      <w:proofErr w:type="spellEnd"/>
      <w:r w:rsidRPr="00DF29CC">
        <w:rPr>
          <w:b/>
          <w:bCs/>
          <w:i/>
          <w:lang w:val="en-US"/>
        </w:rPr>
        <w:t xml:space="preserve"> se face pe </w:t>
      </w:r>
      <w:proofErr w:type="spellStart"/>
      <w:r w:rsidRPr="00DF29CC">
        <w:rPr>
          <w:b/>
          <w:bCs/>
          <w:i/>
          <w:lang w:val="en-US"/>
        </w:rPr>
        <w:t>baza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buletinului</w:t>
      </w:r>
      <w:proofErr w:type="spellEnd"/>
      <w:r w:rsidRPr="00DF29CC">
        <w:rPr>
          <w:b/>
          <w:bCs/>
          <w:i/>
          <w:lang w:val="en-US"/>
        </w:rPr>
        <w:t>/</w:t>
      </w:r>
      <w:proofErr w:type="spellStart"/>
      <w:r w:rsidRPr="00DF29CC">
        <w:rPr>
          <w:b/>
          <w:bCs/>
          <w:i/>
          <w:lang w:val="en-US"/>
        </w:rPr>
        <w:t>cărţii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identitate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proofErr w:type="gramStart"/>
      <w:r w:rsidRPr="00DF29CC">
        <w:rPr>
          <w:b/>
          <w:bCs/>
          <w:i/>
          <w:lang w:val="en-US"/>
        </w:rPr>
        <w:t>primitorului</w:t>
      </w:r>
      <w:proofErr w:type="spellEnd"/>
      <w:r w:rsidRPr="00DF29CC">
        <w:rPr>
          <w:b/>
          <w:bCs/>
          <w:i/>
          <w:lang w:val="en-US"/>
        </w:rPr>
        <w:t xml:space="preserve"> 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proofErr w:type="gramEnd"/>
      <w:r w:rsidRPr="00DF29CC">
        <w:rPr>
          <w:b/>
          <w:bCs/>
          <w:i/>
          <w:lang w:val="en-US"/>
        </w:rPr>
        <w:t xml:space="preserve"> se </w:t>
      </w:r>
      <w:proofErr w:type="spellStart"/>
      <w:r w:rsidRPr="00DF29CC">
        <w:rPr>
          <w:b/>
          <w:bCs/>
          <w:i/>
          <w:lang w:val="en-US"/>
        </w:rPr>
        <w:t>consemnează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registrul</w:t>
      </w:r>
      <w:proofErr w:type="spellEnd"/>
      <w:r w:rsidRPr="00DF29CC">
        <w:rPr>
          <w:b/>
          <w:bCs/>
          <w:i/>
          <w:lang w:val="en-US"/>
        </w:rPr>
        <w:t xml:space="preserve"> special de </w:t>
      </w:r>
      <w:proofErr w:type="spellStart"/>
      <w:r w:rsidRPr="00DF29CC">
        <w:rPr>
          <w:b/>
          <w:bCs/>
          <w:i/>
          <w:lang w:val="en-US"/>
        </w:rPr>
        <w:t>eliberări</w:t>
      </w:r>
      <w:proofErr w:type="spellEnd"/>
      <w:r w:rsidRPr="00DF29CC">
        <w:rPr>
          <w:b/>
          <w:bCs/>
          <w:i/>
          <w:lang w:val="en-US"/>
        </w:rPr>
        <w:t xml:space="preserve"> certificate handicap cu </w:t>
      </w:r>
      <w:proofErr w:type="spellStart"/>
      <w:r w:rsidRPr="00DF29CC">
        <w:rPr>
          <w:b/>
          <w:bCs/>
          <w:i/>
          <w:lang w:val="en-US"/>
        </w:rPr>
        <w:t>semnătura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celui</w:t>
      </w:r>
      <w:proofErr w:type="spellEnd"/>
      <w:r w:rsidRPr="00DF29CC">
        <w:rPr>
          <w:b/>
          <w:bCs/>
          <w:i/>
          <w:lang w:val="en-US"/>
        </w:rPr>
        <w:t xml:space="preserve"> care le </w:t>
      </w:r>
      <w:proofErr w:type="spellStart"/>
      <w:r w:rsidRPr="00DF29CC">
        <w:rPr>
          <w:b/>
          <w:bCs/>
          <w:i/>
          <w:lang w:val="en-US"/>
        </w:rPr>
        <w:t>ridică</w:t>
      </w:r>
      <w:proofErr w:type="spellEnd"/>
      <w:r w:rsidRPr="00DF29CC">
        <w:rPr>
          <w:b/>
          <w:bCs/>
          <w:i/>
          <w:lang w:val="en-US"/>
        </w:rPr>
        <w:t>;</w:t>
      </w:r>
    </w:p>
    <w:p w14:paraId="64F996F9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adreselor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înaintare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transmiterea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certificatelor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încadrare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adulte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grad de handicap;</w:t>
      </w:r>
    </w:p>
    <w:p w14:paraId="5621C97D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transmite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prin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scrisoare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recomandată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documentele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aprobate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comisia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evaluare</w:t>
      </w:r>
      <w:proofErr w:type="spellEnd"/>
      <w:r w:rsidRPr="00DF29CC">
        <w:rPr>
          <w:b/>
          <w:bCs/>
          <w:i/>
          <w:lang w:val="en-US"/>
        </w:rPr>
        <w:t xml:space="preserve">, in termen de 5 </w:t>
      </w:r>
      <w:proofErr w:type="spellStart"/>
      <w:r w:rsidRPr="00DF29CC">
        <w:rPr>
          <w:b/>
          <w:bCs/>
          <w:i/>
          <w:lang w:val="en-US"/>
        </w:rPr>
        <w:t>zile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lucrătoare</w:t>
      </w:r>
      <w:proofErr w:type="spellEnd"/>
      <w:r w:rsidRPr="00DF29CC">
        <w:rPr>
          <w:b/>
          <w:bCs/>
          <w:i/>
          <w:lang w:val="en-US"/>
        </w:rPr>
        <w:t xml:space="preserve"> de la data </w:t>
      </w:r>
      <w:proofErr w:type="spellStart"/>
      <w:r w:rsidRPr="00DF29CC">
        <w:rPr>
          <w:b/>
          <w:bCs/>
          <w:i/>
          <w:lang w:val="en-US"/>
        </w:rPr>
        <w:t>şedinţei</w:t>
      </w:r>
      <w:proofErr w:type="spellEnd"/>
      <w:r w:rsidRPr="00DF29CC">
        <w:rPr>
          <w:b/>
          <w:bCs/>
          <w:i/>
          <w:lang w:val="en-US"/>
        </w:rPr>
        <w:t>;</w:t>
      </w:r>
    </w:p>
    <w:p w14:paraId="693BA3FD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hotărârilor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protecţie</w:t>
      </w:r>
      <w:proofErr w:type="spellEnd"/>
      <w:r w:rsidRPr="00DF29CC">
        <w:rPr>
          <w:b/>
          <w:bCs/>
          <w:i/>
          <w:lang w:val="en-US"/>
        </w:rPr>
        <w:t xml:space="preserve"> (</w:t>
      </w:r>
      <w:proofErr w:type="spellStart"/>
      <w:r w:rsidRPr="00DF29CC">
        <w:rPr>
          <w:b/>
          <w:bCs/>
          <w:i/>
          <w:lang w:val="en-US"/>
        </w:rPr>
        <w:t>plasamente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menţineri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încetări</w:t>
      </w:r>
      <w:proofErr w:type="spellEnd"/>
      <w:r w:rsidRPr="00DF29CC">
        <w:rPr>
          <w:b/>
          <w:bCs/>
          <w:i/>
          <w:lang w:val="en-US"/>
        </w:rPr>
        <w:t>);</w:t>
      </w:r>
    </w:p>
    <w:p w14:paraId="300F0A1C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Certificatele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încadrare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grad de handicap </w:t>
      </w:r>
      <w:proofErr w:type="spellStart"/>
      <w:r w:rsidRPr="00DF29CC">
        <w:rPr>
          <w:b/>
          <w:bCs/>
          <w:i/>
          <w:lang w:val="en-US"/>
        </w:rPr>
        <w:t>copii</w:t>
      </w:r>
      <w:proofErr w:type="spellEnd"/>
      <w:r w:rsidRPr="00DF29CC">
        <w:rPr>
          <w:b/>
          <w:bCs/>
          <w:i/>
          <w:lang w:val="en-US"/>
        </w:rPr>
        <w:t xml:space="preserve"> precum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hotărârile</w:t>
      </w:r>
      <w:proofErr w:type="spellEnd"/>
      <w:r w:rsidRPr="00DF29CC">
        <w:rPr>
          <w:b/>
          <w:bCs/>
          <w:i/>
          <w:lang w:val="en-US"/>
        </w:rPr>
        <w:t xml:space="preserve"> care </w:t>
      </w:r>
      <w:proofErr w:type="spellStart"/>
      <w:r w:rsidRPr="00DF29CC">
        <w:rPr>
          <w:b/>
          <w:bCs/>
          <w:i/>
          <w:lang w:val="en-US"/>
        </w:rPr>
        <w:t>aprobă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eliberarea</w:t>
      </w:r>
      <w:proofErr w:type="spellEnd"/>
      <w:r w:rsidRPr="00DF29CC">
        <w:rPr>
          <w:b/>
          <w:bCs/>
          <w:i/>
          <w:lang w:val="en-US"/>
        </w:rPr>
        <w:t xml:space="preserve"> lor;</w:t>
      </w:r>
    </w:p>
    <w:p w14:paraId="4C03AEE9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adreselor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înaintare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: </w:t>
      </w:r>
      <w:proofErr w:type="spellStart"/>
      <w:r w:rsidRPr="00DF29CC">
        <w:rPr>
          <w:b/>
          <w:bCs/>
          <w:i/>
          <w:lang w:val="en-US"/>
        </w:rPr>
        <w:t>hotărâri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protecţie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și</w:t>
      </w:r>
      <w:proofErr w:type="spellEnd"/>
      <w:r w:rsidRPr="00DF29CC">
        <w:rPr>
          <w:b/>
          <w:bCs/>
          <w:i/>
          <w:lang w:val="en-US"/>
        </w:rPr>
        <w:t xml:space="preserve"> certificate handicap </w:t>
      </w:r>
      <w:proofErr w:type="spellStart"/>
      <w:r w:rsidRPr="00DF29CC">
        <w:rPr>
          <w:b/>
          <w:bCs/>
          <w:i/>
          <w:lang w:val="en-US"/>
        </w:rPr>
        <w:t>copii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ce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urmează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să</w:t>
      </w:r>
      <w:proofErr w:type="spellEnd"/>
      <w:r w:rsidRPr="00DF29CC">
        <w:rPr>
          <w:b/>
          <w:bCs/>
          <w:i/>
          <w:lang w:val="en-US"/>
        </w:rPr>
        <w:t xml:space="preserve"> fie </w:t>
      </w:r>
      <w:proofErr w:type="spellStart"/>
      <w:r w:rsidRPr="00DF29CC">
        <w:rPr>
          <w:b/>
          <w:bCs/>
          <w:i/>
          <w:lang w:val="en-US"/>
        </w:rPr>
        <w:t>trimise</w:t>
      </w:r>
      <w:proofErr w:type="spellEnd"/>
      <w:r w:rsidRPr="00DF29CC">
        <w:rPr>
          <w:b/>
          <w:bCs/>
          <w:i/>
          <w:lang w:val="en-US"/>
        </w:rPr>
        <w:t xml:space="preserve">: </w:t>
      </w:r>
      <w:proofErr w:type="spellStart"/>
      <w:r w:rsidRPr="00DF29CC">
        <w:rPr>
          <w:b/>
          <w:bCs/>
          <w:i/>
          <w:lang w:val="en-US"/>
        </w:rPr>
        <w:t>copiilor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peste</w:t>
      </w:r>
      <w:proofErr w:type="spellEnd"/>
      <w:r w:rsidRPr="00DF29CC">
        <w:rPr>
          <w:b/>
          <w:bCs/>
          <w:i/>
          <w:lang w:val="en-US"/>
        </w:rPr>
        <w:t xml:space="preserve"> 14 ani, </w:t>
      </w:r>
      <w:proofErr w:type="spellStart"/>
      <w:r w:rsidRPr="00DF29CC">
        <w:rPr>
          <w:b/>
          <w:bCs/>
          <w:i/>
          <w:lang w:val="en-US"/>
        </w:rPr>
        <w:t>părinţilor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primăriilor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asistenţilor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maternali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profesionişti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Agenţiei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judeţene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plăţi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inspecţie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socialăSuceava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etc</w:t>
      </w:r>
      <w:proofErr w:type="spellEnd"/>
      <w:r w:rsidRPr="00DF29CC">
        <w:rPr>
          <w:b/>
          <w:bCs/>
          <w:i/>
          <w:lang w:val="en-US"/>
        </w:rPr>
        <w:t>;</w:t>
      </w:r>
    </w:p>
    <w:p w14:paraId="4459F936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întocmirea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corespondenţei</w:t>
      </w:r>
      <w:proofErr w:type="spellEnd"/>
      <w:r w:rsidRPr="00DF29CC">
        <w:rPr>
          <w:b/>
          <w:bCs/>
          <w:i/>
          <w:lang w:val="en-US"/>
        </w:rPr>
        <w:t xml:space="preserve"> (</w:t>
      </w:r>
      <w:proofErr w:type="spellStart"/>
      <w:r w:rsidRPr="00DF29CC">
        <w:rPr>
          <w:b/>
          <w:bCs/>
          <w:i/>
          <w:lang w:val="en-US"/>
        </w:rPr>
        <w:t>plicuri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borderouri</w:t>
      </w:r>
      <w:proofErr w:type="spellEnd"/>
      <w:r w:rsidRPr="00DF29CC">
        <w:rPr>
          <w:b/>
          <w:bCs/>
          <w:i/>
          <w:lang w:val="en-US"/>
        </w:rPr>
        <w:t xml:space="preserve">) care </w:t>
      </w:r>
      <w:proofErr w:type="spellStart"/>
      <w:r w:rsidRPr="00DF29CC">
        <w:rPr>
          <w:b/>
          <w:bCs/>
          <w:i/>
          <w:lang w:val="en-US"/>
        </w:rPr>
        <w:t>urmează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să</w:t>
      </w:r>
      <w:proofErr w:type="spellEnd"/>
      <w:r w:rsidRPr="00DF29CC">
        <w:rPr>
          <w:b/>
          <w:bCs/>
          <w:i/>
          <w:lang w:val="en-US"/>
        </w:rPr>
        <w:t xml:space="preserve"> fie </w:t>
      </w:r>
      <w:proofErr w:type="spellStart"/>
      <w:r w:rsidRPr="00DF29CC">
        <w:rPr>
          <w:b/>
          <w:bCs/>
          <w:i/>
          <w:lang w:val="en-US"/>
        </w:rPr>
        <w:t>trimise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copiilor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peste</w:t>
      </w:r>
      <w:proofErr w:type="spellEnd"/>
      <w:r w:rsidRPr="00DF29CC">
        <w:rPr>
          <w:b/>
          <w:bCs/>
          <w:i/>
          <w:lang w:val="en-US"/>
        </w:rPr>
        <w:t xml:space="preserve"> 14 ani, </w:t>
      </w:r>
      <w:proofErr w:type="spellStart"/>
      <w:r w:rsidRPr="00DF29CC">
        <w:rPr>
          <w:b/>
          <w:bCs/>
          <w:i/>
          <w:lang w:val="en-US"/>
        </w:rPr>
        <w:t>părinţilor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primăriilor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asistenţilor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maternali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profesionişti</w:t>
      </w:r>
      <w:proofErr w:type="spellEnd"/>
      <w:r w:rsidRPr="00DF29CC">
        <w:rPr>
          <w:b/>
          <w:bCs/>
          <w:i/>
          <w:lang w:val="en-US"/>
        </w:rPr>
        <w:t xml:space="preserve">, </w:t>
      </w:r>
      <w:proofErr w:type="spellStart"/>
      <w:r w:rsidRPr="00DF29CC">
        <w:rPr>
          <w:b/>
          <w:bCs/>
          <w:i/>
          <w:lang w:val="en-US"/>
        </w:rPr>
        <w:t>etc</w:t>
      </w:r>
      <w:proofErr w:type="spellEnd"/>
      <w:r w:rsidRPr="00DF29CC">
        <w:rPr>
          <w:b/>
          <w:bCs/>
          <w:i/>
          <w:lang w:val="en-US"/>
        </w:rPr>
        <w:t>;</w:t>
      </w:r>
    </w:p>
    <w:p w14:paraId="4ABA5AEB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redactează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Atestatele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asistenţi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maternali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profesionişti</w:t>
      </w:r>
      <w:proofErr w:type="spellEnd"/>
      <w:r w:rsidRPr="00DF29CC">
        <w:rPr>
          <w:b/>
          <w:bCs/>
          <w:i/>
          <w:lang w:val="en-US"/>
        </w:rPr>
        <w:t>;</w:t>
      </w:r>
    </w:p>
    <w:p w14:paraId="6A3EBC17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lastRenderedPageBreak/>
        <w:t>îndosarierea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bibliorafturi</w:t>
      </w:r>
      <w:proofErr w:type="spellEnd"/>
      <w:r w:rsidRPr="00DF29CC">
        <w:rPr>
          <w:b/>
          <w:bCs/>
          <w:i/>
          <w:lang w:val="en-US"/>
        </w:rPr>
        <w:t xml:space="preserve"> pe </w:t>
      </w:r>
      <w:proofErr w:type="spellStart"/>
      <w:r w:rsidRPr="00DF29CC">
        <w:rPr>
          <w:b/>
          <w:bCs/>
          <w:i/>
          <w:lang w:val="en-US"/>
        </w:rPr>
        <w:t>categorii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r w:rsidRPr="00DF29CC">
        <w:rPr>
          <w:b/>
          <w:bCs/>
          <w:i/>
          <w:lang w:val="en-US"/>
        </w:rPr>
        <w:t>tuturor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actelor</w:t>
      </w:r>
      <w:proofErr w:type="spellEnd"/>
      <w:r w:rsidRPr="00DF29CC">
        <w:rPr>
          <w:b/>
          <w:bCs/>
          <w:i/>
          <w:lang w:val="en-US"/>
        </w:rPr>
        <w:t xml:space="preserve">: </w:t>
      </w:r>
      <w:proofErr w:type="spellStart"/>
      <w:r w:rsidRPr="00DF29CC">
        <w:rPr>
          <w:b/>
          <w:bCs/>
          <w:i/>
          <w:lang w:val="en-US"/>
        </w:rPr>
        <w:t>dovezi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primire</w:t>
      </w:r>
      <w:proofErr w:type="spellEnd"/>
      <w:r w:rsidRPr="00DF29CC">
        <w:rPr>
          <w:b/>
          <w:bCs/>
          <w:i/>
          <w:lang w:val="en-US"/>
        </w:rPr>
        <w:t xml:space="preserve"> (de la </w:t>
      </w:r>
      <w:proofErr w:type="spellStart"/>
      <w:r w:rsidRPr="00DF29CC">
        <w:rPr>
          <w:b/>
          <w:bCs/>
          <w:i/>
          <w:lang w:val="en-US"/>
        </w:rPr>
        <w:t>persoane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primării</w:t>
      </w:r>
      <w:proofErr w:type="spellEnd"/>
      <w:r w:rsidRPr="00DF29CC">
        <w:rPr>
          <w:b/>
          <w:bCs/>
          <w:i/>
          <w:lang w:val="en-US"/>
        </w:rPr>
        <w:t xml:space="preserve">); </w:t>
      </w:r>
      <w:proofErr w:type="spellStart"/>
      <w:r w:rsidRPr="00DF29CC">
        <w:rPr>
          <w:b/>
          <w:bCs/>
          <w:i/>
          <w:lang w:val="en-US"/>
        </w:rPr>
        <w:t>plicuri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returnate</w:t>
      </w:r>
      <w:proofErr w:type="spellEnd"/>
      <w:r w:rsidRPr="00DF29CC">
        <w:rPr>
          <w:b/>
          <w:bCs/>
          <w:i/>
          <w:lang w:val="en-US"/>
        </w:rPr>
        <w:t xml:space="preserve">; </w:t>
      </w:r>
      <w:proofErr w:type="spellStart"/>
      <w:r w:rsidRPr="00DF29CC">
        <w:rPr>
          <w:b/>
          <w:bCs/>
          <w:i/>
          <w:lang w:val="en-US"/>
        </w:rPr>
        <w:t>copiile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adreselor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trimise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familiilor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primăriilor</w:t>
      </w:r>
      <w:proofErr w:type="spellEnd"/>
      <w:r w:rsidRPr="00DF29CC">
        <w:rPr>
          <w:b/>
          <w:bCs/>
          <w:i/>
          <w:lang w:val="en-US"/>
        </w:rPr>
        <w:t>;</w:t>
      </w:r>
    </w:p>
    <w:p w14:paraId="03C2AC94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înregistrarea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registrele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evidenţă</w:t>
      </w:r>
      <w:proofErr w:type="spellEnd"/>
      <w:r w:rsidRPr="00DF29CC">
        <w:rPr>
          <w:b/>
          <w:bCs/>
          <w:i/>
          <w:lang w:val="en-US"/>
        </w:rPr>
        <w:t xml:space="preserve"> a </w:t>
      </w:r>
      <w:proofErr w:type="spellStart"/>
      <w:r w:rsidRPr="00DF29CC">
        <w:rPr>
          <w:b/>
          <w:bCs/>
          <w:i/>
          <w:lang w:val="en-US"/>
        </w:rPr>
        <w:t>copiilor</w:t>
      </w:r>
      <w:proofErr w:type="spellEnd"/>
      <w:r w:rsidRPr="00DF29CC">
        <w:rPr>
          <w:b/>
          <w:bCs/>
          <w:i/>
          <w:lang w:val="en-US"/>
        </w:rPr>
        <w:t xml:space="preserve"> cu handicap, a </w:t>
      </w:r>
      <w:proofErr w:type="spellStart"/>
      <w:r w:rsidRPr="00DF29CC">
        <w:rPr>
          <w:b/>
          <w:bCs/>
          <w:i/>
          <w:lang w:val="en-US"/>
        </w:rPr>
        <w:t>tuturor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cazurilor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prezentate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şedinţa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Comisiei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pentru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Protecţia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Copilului</w:t>
      </w:r>
      <w:proofErr w:type="spellEnd"/>
      <w:r w:rsidRPr="00DF29CC">
        <w:rPr>
          <w:b/>
          <w:bCs/>
          <w:i/>
          <w:lang w:val="en-US"/>
        </w:rPr>
        <w:t xml:space="preserve">; </w:t>
      </w:r>
    </w:p>
    <w:p w14:paraId="5E6364A8" w14:textId="77777777" w:rsidR="00DF29CC" w:rsidRPr="00DF29CC" w:rsidRDefault="00DF29CC" w:rsidP="00DF29CC">
      <w:pPr>
        <w:numPr>
          <w:ilvl w:val="0"/>
          <w:numId w:val="3"/>
        </w:numPr>
        <w:tabs>
          <w:tab w:val="clear" w:pos="810"/>
          <w:tab w:val="num" w:pos="450"/>
          <w:tab w:val="num" w:pos="502"/>
        </w:tabs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înregistrarea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registrul</w:t>
      </w:r>
      <w:proofErr w:type="spellEnd"/>
      <w:r w:rsidRPr="00DF29CC">
        <w:rPr>
          <w:b/>
          <w:bCs/>
          <w:i/>
          <w:lang w:val="en-US"/>
        </w:rPr>
        <w:t xml:space="preserve"> de </w:t>
      </w:r>
      <w:proofErr w:type="spellStart"/>
      <w:r w:rsidRPr="00DF29CC">
        <w:rPr>
          <w:b/>
          <w:bCs/>
          <w:i/>
          <w:lang w:val="en-US"/>
        </w:rPr>
        <w:t>evidenţă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gramStart"/>
      <w:r w:rsidRPr="00DF29CC">
        <w:rPr>
          <w:b/>
          <w:bCs/>
          <w:i/>
          <w:lang w:val="en-US"/>
        </w:rPr>
        <w:t>a</w:t>
      </w:r>
      <w:proofErr w:type="gram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atestatelor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şi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reatestărilor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asistenţilor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maternali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profesionişti</w:t>
      </w:r>
      <w:proofErr w:type="spellEnd"/>
      <w:r w:rsidRPr="00DF29CC">
        <w:rPr>
          <w:b/>
          <w:bCs/>
          <w:i/>
          <w:lang w:val="en-US"/>
        </w:rPr>
        <w:t>;</w:t>
      </w:r>
    </w:p>
    <w:p w14:paraId="26197865" w14:textId="77777777" w:rsidR="00DF29CC" w:rsidRPr="00DF29CC" w:rsidRDefault="00DF29CC" w:rsidP="00DF29CC">
      <w:pPr>
        <w:numPr>
          <w:ilvl w:val="0"/>
          <w:numId w:val="3"/>
        </w:numPr>
        <w:ind w:right="-180"/>
        <w:jc w:val="both"/>
        <w:rPr>
          <w:b/>
          <w:bCs/>
          <w:i/>
          <w:lang w:val="en-US"/>
        </w:rPr>
      </w:pPr>
      <w:proofErr w:type="spellStart"/>
      <w:r w:rsidRPr="00DF29CC">
        <w:rPr>
          <w:b/>
          <w:bCs/>
          <w:i/>
          <w:lang w:val="en-US"/>
        </w:rPr>
        <w:t>ţine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evidenţa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dosarelor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persoanelor</w:t>
      </w:r>
      <w:proofErr w:type="spellEnd"/>
      <w:r w:rsidRPr="00DF29CC">
        <w:rPr>
          <w:b/>
          <w:bCs/>
          <w:i/>
          <w:lang w:val="en-US"/>
        </w:rPr>
        <w:t xml:space="preserve"> cu handicap </w:t>
      </w:r>
      <w:proofErr w:type="spellStart"/>
      <w:r w:rsidRPr="00DF29CC">
        <w:rPr>
          <w:b/>
          <w:bCs/>
          <w:i/>
          <w:lang w:val="en-US"/>
        </w:rPr>
        <w:t>transferate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în</w:t>
      </w:r>
      <w:proofErr w:type="spellEnd"/>
      <w:r w:rsidRPr="00DF29CC">
        <w:rPr>
          <w:b/>
          <w:bCs/>
          <w:i/>
          <w:lang w:val="en-US"/>
        </w:rPr>
        <w:t xml:space="preserve">/din </w:t>
      </w:r>
      <w:proofErr w:type="spellStart"/>
      <w:r w:rsidRPr="00DF29CC">
        <w:rPr>
          <w:b/>
          <w:bCs/>
          <w:i/>
          <w:lang w:val="en-US"/>
        </w:rPr>
        <w:t>alte</w:t>
      </w:r>
      <w:proofErr w:type="spellEnd"/>
      <w:r w:rsidRPr="00DF29CC">
        <w:rPr>
          <w:b/>
          <w:bCs/>
          <w:i/>
          <w:lang w:val="en-US"/>
        </w:rPr>
        <w:t xml:space="preserve"> </w:t>
      </w:r>
      <w:proofErr w:type="spellStart"/>
      <w:r w:rsidRPr="00DF29CC">
        <w:rPr>
          <w:b/>
          <w:bCs/>
          <w:i/>
          <w:lang w:val="en-US"/>
        </w:rPr>
        <w:t>judeţe</w:t>
      </w:r>
      <w:proofErr w:type="spellEnd"/>
      <w:r w:rsidRPr="00DF29CC">
        <w:rPr>
          <w:b/>
          <w:bCs/>
          <w:i/>
          <w:lang w:val="en-US"/>
        </w:rPr>
        <w:t xml:space="preserve">;  </w:t>
      </w:r>
    </w:p>
    <w:p w14:paraId="3A2C7BBB" w14:textId="77777777" w:rsidR="00DF29CC" w:rsidRPr="00DF29CC" w:rsidRDefault="00DF29CC" w:rsidP="00DF29CC">
      <w:pPr>
        <w:ind w:right="-180"/>
        <w:jc w:val="both"/>
        <w:rPr>
          <w:b/>
          <w:bCs/>
          <w:lang w:val="en-US"/>
        </w:rPr>
      </w:pPr>
    </w:p>
    <w:p w14:paraId="7298192D" w14:textId="77777777" w:rsidR="00DF29CC" w:rsidRPr="009D64BD" w:rsidRDefault="00DF29CC" w:rsidP="00D53FB0">
      <w:pPr>
        <w:ind w:right="-180"/>
        <w:jc w:val="both"/>
        <w:rPr>
          <w:b/>
          <w:bCs/>
        </w:rPr>
      </w:pPr>
    </w:p>
    <w:p w14:paraId="28E35620" w14:textId="77777777" w:rsidR="006B402B" w:rsidRDefault="006B402B" w:rsidP="008E3E1A">
      <w:pPr>
        <w:shd w:val="clear" w:color="auto" w:fill="FFFFFF"/>
        <w:ind w:right="-455"/>
        <w:jc w:val="both"/>
        <w:rPr>
          <w:rStyle w:val="rvts41"/>
          <w:lang w:val="en-US"/>
        </w:rPr>
      </w:pPr>
    </w:p>
    <w:p w14:paraId="25538238" w14:textId="77777777" w:rsidR="006B402B" w:rsidRDefault="006B402B" w:rsidP="008E3E1A">
      <w:pPr>
        <w:shd w:val="clear" w:color="auto" w:fill="FFFFFF"/>
        <w:ind w:right="-455"/>
        <w:jc w:val="both"/>
        <w:rPr>
          <w:rStyle w:val="rvts41"/>
          <w:lang w:val="en-US"/>
        </w:rPr>
      </w:pPr>
    </w:p>
    <w:p w14:paraId="1DB2B3D8" w14:textId="77777777" w:rsidR="006739D1" w:rsidRDefault="006739D1" w:rsidP="006739D1"/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950"/>
        <w:gridCol w:w="504"/>
        <w:gridCol w:w="1538"/>
        <w:gridCol w:w="1529"/>
        <w:gridCol w:w="3378"/>
        <w:gridCol w:w="270"/>
      </w:tblGrid>
      <w:tr w:rsidR="006739D1" w:rsidRPr="00FF0A94" w14:paraId="7AC1E898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AA2E5F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lang w:val="en-US" w:eastAsia="en-US"/>
              </w:rPr>
              <w:t>FORMULAR DE ÎNSCRIERE LA ETAPA DE SELECŢIE*)</w:t>
            </w:r>
          </w:p>
        </w:tc>
      </w:tr>
      <w:tr w:rsidR="006739D1" w:rsidRPr="00FF0A94" w14:paraId="6AB46264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199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2B2ACE0C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85C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    *)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Formularul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este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reprodus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facsimil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4D073ED6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42F7E2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3BEBA5DE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A027913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Autoritatea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cadrul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căreia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află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funcţia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vacantă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 ...............................</w:t>
            </w:r>
          </w:p>
        </w:tc>
      </w:tr>
      <w:tr w:rsidR="006739D1" w:rsidRPr="00FF0A94" w14:paraId="74942FC9" w14:textId="77777777" w:rsidTr="00383F77">
        <w:tc>
          <w:tcPr>
            <w:tcW w:w="104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A4718E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5D40AAAA" w14:textId="77777777" w:rsidTr="00383F77"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FA1D3D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Funcţia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solicitată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75194FB2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E01F31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Data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organizării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etapei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selecţie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proba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scrisă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):</w:t>
            </w:r>
          </w:p>
        </w:tc>
      </w:tr>
      <w:tr w:rsidR="006739D1" w:rsidRPr="00FF0A94" w14:paraId="6EB0499D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690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69122D90" w14:textId="77777777" w:rsidTr="00383F77"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050EB5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Numele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prenumele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12F6575B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6AD83B" w14:textId="77777777" w:rsidR="006739D1" w:rsidRPr="00FF0A94" w:rsidRDefault="006739D1" w:rsidP="00383F77">
            <w:pPr>
              <w:ind w:left="75" w:right="142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Datele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contact ale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(se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utilizează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comunicarea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concurs):</w:t>
            </w:r>
          </w:p>
        </w:tc>
      </w:tr>
      <w:tr w:rsidR="006739D1" w:rsidRPr="00FF0A94" w14:paraId="09FBC556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8204B8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Adresa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74A52F2E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CE3A74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E-mail:</w:t>
            </w:r>
          </w:p>
        </w:tc>
      </w:tr>
      <w:tr w:rsidR="006739D1" w:rsidRPr="00FF0A94" w14:paraId="006A14F7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0FFD03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Telefon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6C95A880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B2F60B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Identificator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unic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53CF4F07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6E3AB7" w14:textId="77777777" w:rsidR="006739D1" w:rsidRPr="00FF0A94" w:rsidRDefault="006739D1" w:rsidP="00383F77">
            <w:pPr>
              <w:ind w:left="75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Nr.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dosar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înscriere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etapa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selecţie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4CE824D0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A37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267C15E4" w14:textId="77777777" w:rsidTr="00383F77"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D92C1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generale </w:t>
            </w: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specialitate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>:</w:t>
            </w:r>
          </w:p>
        </w:tc>
      </w:tr>
      <w:tr w:rsidR="006739D1" w:rsidRPr="00FF0A94" w14:paraId="264548F5" w14:textId="77777777" w:rsidTr="00383F77">
        <w:tc>
          <w:tcPr>
            <w:tcW w:w="327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1608886" w14:textId="77777777" w:rsidR="006739D1" w:rsidRPr="00FF0A94" w:rsidRDefault="006739D1" w:rsidP="00383F77">
            <w:pPr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medii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liceale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postliceale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62409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33D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1BAD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F5A4CE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F2D41B9" w14:textId="77777777" w:rsidTr="00383F77">
        <w:trPr>
          <w:trHeight w:val="107"/>
        </w:trPr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B0CAF5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0AEF89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3829E5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501CE1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14B472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FF683D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12D44E3E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3F415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B104F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D6EC8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BE74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Diploma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obţinută</w:t>
            </w:r>
            <w:proofErr w:type="spellEnd"/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7A532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D995A13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CA62F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43BC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3B2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6547F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86D82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1F089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1855C8C2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21873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E34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811A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892A7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2F4DC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C6D13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5D85C28C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038BC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607D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A5F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E5B21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ED13C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1BF4A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</w:tr>
      <w:tr w:rsidR="006739D1" w:rsidRPr="00FF0A94" w14:paraId="1A1C4DC5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F8555D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93A0E6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347CA1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421403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AA9E9C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37A690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D8ACDA9" w14:textId="77777777" w:rsidTr="00383F77">
        <w:tc>
          <w:tcPr>
            <w:tcW w:w="327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AE04D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superioare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scurtă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durată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1151F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982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768A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23605D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8C628FD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100D45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7DDEE1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803807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964DB4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D3C2E0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8BE54C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3603D1C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51F203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C190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7427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5B08B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Diploma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obţinută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529D0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253A5F2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15544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2FD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DFA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C9413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D79C0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8938C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59B2B125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E1220B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B4D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BC50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F2E7E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B83A0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96EA9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3EC2C2E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42AFC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6A1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090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44A05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C7104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C941C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45C7F5F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667BAD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478046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B4CC64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B6008E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E42881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96AE19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2419CAB" w14:textId="77777777" w:rsidTr="00383F77">
        <w:tc>
          <w:tcPr>
            <w:tcW w:w="327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B8F377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superioare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lungă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durată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50269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5AF4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1D54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2E04EF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80ACB6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A23FE3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1DDA49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EFFBEF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44E1DF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3DF64F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C313D5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4489C37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2A336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35329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A03B7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D69AF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Diploma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obţinută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1C2F1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5414007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9DCFA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44C8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8B17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6D9EB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6F977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11C1B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45E2916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422F5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lastRenderedPageBreak/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3FC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ACD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05E39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F8DAC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ED72E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46624EF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5B260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ED04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352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BC672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CDDCF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A1F5F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DF55BF7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DA38AD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6112AE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BA8860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B29F89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433322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B17752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CF0A4B3" w14:textId="77777777" w:rsidTr="00383F77">
        <w:tc>
          <w:tcPr>
            <w:tcW w:w="102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8D5D89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universitare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masterat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doctorat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sau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postuniversitare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EE1F13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0C1B96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6EB447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989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AAE501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C443C1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181591D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F2CB6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3684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F53F3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45DA1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Diploma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obţinută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0C8C6D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4FF841F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445EA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165C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1C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8BA23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C0C9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DC2EE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171996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7C61F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63BB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655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B20CA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9D156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C4BC28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150C5ED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17116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4A35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A4C0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431D6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CAE99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F70B15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29FEA59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2C5F51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F57F44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C42425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4F816E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C93ECE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1F3D78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359FEDA" w14:textId="77777777" w:rsidTr="00383F77">
        <w:tc>
          <w:tcPr>
            <w:tcW w:w="102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BEE3AC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Alte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tipuri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studii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D5224C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A08004E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E929DC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989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9BBB80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190C5F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AE560EB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008D2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ACD9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7CED5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69E97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Diploma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obţinută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9EDF3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FD8FD36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C41CD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26B1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6A8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B9E18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0EE6D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B9BEC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88E4B65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76D27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FA0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B317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B4793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9A2F0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0B24C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C8A0800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F338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0FE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705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8E1F9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5D9C4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FFAE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66E2415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1661C0C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2DE89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F40AF3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8E99F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2CB5491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1C0A45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E8BB665" w14:textId="77777777" w:rsidTr="00383F77">
        <w:tc>
          <w:tcPr>
            <w:tcW w:w="327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1A6AF81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lang w:val="en-US" w:eastAsia="en-US"/>
              </w:rPr>
              <w:t>Limbi străine</w:t>
            </w:r>
            <w:r w:rsidRPr="00FF0A94">
              <w:rPr>
                <w:rFonts w:eastAsia="Times New Roman"/>
                <w:b/>
                <w:bCs/>
                <w:sz w:val="16"/>
                <w:vertAlign w:val="superscript"/>
                <w:lang w:val="en-US" w:eastAsia="en-US"/>
              </w:rPr>
              <w:t>1</w:t>
            </w:r>
            <w:r w:rsidRPr="00FF0A94">
              <w:rPr>
                <w:rFonts w:eastAsia="Times New Roman"/>
                <w:b/>
                <w:bCs/>
                <w:lang w:val="en-US" w:eastAsia="en-US"/>
              </w:rPr>
              <w:t>):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BD837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9740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402E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E4169F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50CE173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0E1365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AEE153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AB1FED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98A1AB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2303A6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F3D12F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5795E30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31C54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2017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Limba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F064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Înţelegere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0498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Vorbire</w:t>
            </w:r>
            <w:proofErr w:type="spellEnd"/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1401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Scriere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27173E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86F66B4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1EFA2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A1A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391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14D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CAF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F4C67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E4255F3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C3D13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41C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6E9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CAE5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9E3E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BB8DEA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58A51F7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4EB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019F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287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308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B0B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120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5A9006C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7313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Cunoştinţe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operare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calculator</w:t>
            </w:r>
            <w:r w:rsidRPr="00FF0A94">
              <w:rPr>
                <w:rFonts w:eastAsia="Times New Roman"/>
                <w:b/>
                <w:bCs/>
                <w:sz w:val="16"/>
                <w:vertAlign w:val="superscript"/>
                <w:lang w:val="en-US" w:eastAsia="en-US"/>
              </w:rPr>
              <w:t>2</w:t>
            </w:r>
            <w:r w:rsidRPr="00FF0A94">
              <w:rPr>
                <w:rFonts w:eastAsia="Times New Roman"/>
                <w:b/>
                <w:bCs/>
                <w:lang w:val="en-US" w:eastAsia="en-US"/>
              </w:rPr>
              <w:t>):</w:t>
            </w:r>
          </w:p>
        </w:tc>
      </w:tr>
      <w:tr w:rsidR="006739D1" w:rsidRPr="00FF0A94" w14:paraId="68A2A9C7" w14:textId="77777777" w:rsidTr="00383F77"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F82147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Cariera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profesională</w:t>
            </w:r>
            <w:r w:rsidRPr="00FF0A94">
              <w:rPr>
                <w:rFonts w:eastAsia="Times New Roman"/>
                <w:b/>
                <w:bCs/>
                <w:sz w:val="16"/>
                <w:vertAlign w:val="superscript"/>
                <w:lang w:val="en-US" w:eastAsia="en-US"/>
              </w:rPr>
              <w:t>3</w:t>
            </w:r>
            <w:r w:rsidRPr="00FF0A94">
              <w:rPr>
                <w:rFonts w:eastAsia="Times New Roman"/>
                <w:b/>
                <w:bCs/>
                <w:lang w:val="en-US" w:eastAsia="en-US"/>
              </w:rPr>
              <w:t>):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DBE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C935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C9F8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B11101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58755CD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358215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702FB1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/>
                <w:bCs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86772F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3B1CD0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714B12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FDD3D5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FB4B69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F3647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26F57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Perioada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64056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/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Firma</w:t>
            </w:r>
            <w:proofErr w:type="spellEnd"/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EEF403" w14:textId="77777777" w:rsidR="006739D1" w:rsidRPr="00FF0A94" w:rsidRDefault="006739D1" w:rsidP="00383F77">
            <w:pPr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Funcţia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140FF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7D7BA6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CDAC7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E943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0DC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E4FC9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BBAF6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46091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161721B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16F5B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F70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C711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8BAB7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3DD6E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6A8AF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7548398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6349F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8EEC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348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81AA6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742F2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42BCD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DBCC5E6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4903C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22036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FE8EBF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5B15E5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07DE46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AF723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60DAB01" w14:textId="77777777" w:rsidTr="00383F77"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00F6E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Declaraţii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b/>
                <w:bCs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b/>
                <w:bCs/>
                <w:lang w:val="en-US" w:eastAsia="en-US"/>
              </w:rPr>
              <w:t xml:space="preserve"> răspundere</w:t>
            </w:r>
            <w:r w:rsidRPr="00FF0A94">
              <w:rPr>
                <w:rFonts w:eastAsia="Times New Roman"/>
                <w:b/>
                <w:bCs/>
                <w:sz w:val="16"/>
                <w:vertAlign w:val="superscript"/>
                <w:lang w:val="en-US" w:eastAsia="en-US"/>
              </w:rPr>
              <w:t>4</w:t>
            </w:r>
            <w:r w:rsidRPr="00FF0A94">
              <w:rPr>
                <w:rFonts w:eastAsia="Times New Roman"/>
                <w:b/>
                <w:bCs/>
                <w:lang w:val="en-US" w:eastAsia="en-US"/>
              </w:rPr>
              <w:t>)</w:t>
            </w:r>
          </w:p>
        </w:tc>
      </w:tr>
      <w:tr w:rsidR="006739D1" w:rsidRPr="00FF0A94" w14:paraId="5843D105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66151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Subsemnatul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/a, ....................................................,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legitimat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/ă cu CI/BI, seria ........., numărul ...................,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eliberat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/ă de .............. la data de ..................,</w:t>
            </w:r>
          </w:p>
        </w:tc>
      </w:tr>
      <w:tr w:rsidR="006739D1" w:rsidRPr="00FF0A94" w14:paraId="442A2C3E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CB6997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465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(1) lit.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)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Ordonanţa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urgenţă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Guvernului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nr. 57/2019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Codul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administrativ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modificările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29F08356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0F0215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BFC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mi-a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8FF7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D980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F156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CD59CE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3E68F89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AEB503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70020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mi-a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A900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4FD7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CB31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3306D8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48B679A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1D5D2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interzis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dreptul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gramStart"/>
            <w:r w:rsidRPr="00FF0A94">
              <w:rPr>
                <w:rFonts w:eastAsia="Times New Roman"/>
                <w:lang w:val="en-US" w:eastAsia="en-US"/>
              </w:rPr>
              <w:t>a</w:t>
            </w:r>
            <w:proofErr w:type="gram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ocupa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o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funcţie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exercita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profesia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activitatea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hotărâre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judecătorească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definitivă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406979C3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124EE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465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(1) lit. h)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Ordonanţa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urgenţă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Guvernului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nr. 57/2019,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modificările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7E0B6F9C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9710E2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7A4C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săvârşit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89D1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F438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CF6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38B9CC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F617160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17C5BFA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5B5B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săvârşit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A189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DEED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F5D8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87303B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4AFED28F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471BB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fapte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natura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înscrise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cazierul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judiciar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nu </w:t>
            </w:r>
            <w:proofErr w:type="gramStart"/>
            <w:r w:rsidRPr="00FF0A94">
              <w:rPr>
                <w:rFonts w:eastAsia="Times New Roman"/>
                <w:lang w:val="en-US" w:eastAsia="en-US"/>
              </w:rPr>
              <w:t>a</w:t>
            </w:r>
            <w:proofErr w:type="gram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intervenit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reabilitarea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amnistia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post-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lastRenderedPageBreak/>
              <w:t>condamnatorie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dezincriminarea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faptei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3DF547AD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E08F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lastRenderedPageBreak/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465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(1) lit. j)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Ordonanţa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urgenţă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Guvernului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nr. 57/2019,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modificările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ultimii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3 ani:</w:t>
            </w:r>
          </w:p>
        </w:tc>
      </w:tr>
      <w:tr w:rsidR="006739D1" w:rsidRPr="00FF0A94" w14:paraId="4CEBD8E4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5CB918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1ED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C0C4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6FF3B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destituit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/ă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dintr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-o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funcţie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3E5409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C90A404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EEC7C3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3E9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32C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61B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9D71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EAD61E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7EDAB94" w14:textId="77777777" w:rsidTr="00383F77"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3F11EE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/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B115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B10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97BB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76C11A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6A4F011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3DC0EE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3582D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mi-a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încetat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9961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31148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contractul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individual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muncă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EE57A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53F8AB60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09A8C9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0FB96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mi-a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încetat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2BC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1D03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435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94D426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BE7A553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D372C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motive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disciplinare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369A7CA1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BE10E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465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(1) lit. k)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Ordonanţa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urgenţă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Guvernului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nr. 57/2019,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modificările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4FD1B3C9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FABEDC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CCC09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5DC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038B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543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255C77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15E5A504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AEB0F8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BF319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am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fost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4FC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9954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0896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BD5031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F0AE988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F83B6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lucrător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Securităţii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colaborator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acesteia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prevăzute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legislaţia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specifică.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5</w:t>
            </w:r>
            <w:r w:rsidRPr="00FF0A94">
              <w:rPr>
                <w:rFonts w:eastAsia="Times New Roman"/>
                <w:lang w:val="en-US" w:eastAsia="en-US"/>
              </w:rPr>
              <w:t>)</w:t>
            </w:r>
          </w:p>
        </w:tc>
      </w:tr>
      <w:tr w:rsidR="006739D1" w:rsidRPr="00FF0A94" w14:paraId="476FBA5B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ADD27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4 pct. 2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11, art. 6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(1) lit. a)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7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Regulamentul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(UE) 2016/679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Parlamentului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European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Consiliului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din 27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aprilie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2016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protecţia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persoanelor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fizice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priveşte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prelucrarea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caracter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personal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libera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circulaţie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gramStart"/>
            <w:r w:rsidRPr="00FF0A94">
              <w:rPr>
                <w:rFonts w:eastAsia="Times New Roman"/>
                <w:lang w:val="en-US" w:eastAsia="en-US"/>
              </w:rPr>
              <w:t>a</w:t>
            </w:r>
            <w:proofErr w:type="gram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acestor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date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abrogare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Directivei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95/46/CE (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Regulamentul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general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protecţia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),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priveşte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prelucrarea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caracter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personal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6</w:t>
            </w:r>
            <w:r w:rsidRPr="00FF0A94">
              <w:rPr>
                <w:rFonts w:eastAsia="Times New Roman"/>
                <w:lang w:val="en-US" w:eastAsia="en-US"/>
              </w:rPr>
              <w:t xml:space="preserve">),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următoarele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44BBC93F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44D057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D72F8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6EF3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4BC8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201F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3A2B9B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7F15BD5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324440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2F86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F11E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FA5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6D1E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33FF6F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3A1DEEE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5CE3F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termenii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organizare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gramStart"/>
            <w:r w:rsidRPr="00FF0A94">
              <w:rPr>
                <w:rFonts w:eastAsia="Times New Roman"/>
                <w:lang w:val="en-US" w:eastAsia="en-US"/>
              </w:rPr>
              <w:t>a</w:t>
            </w:r>
            <w:proofErr w:type="gram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etapei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selecţie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prelucrarea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caracter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personal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cuprinse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prezentul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formular,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respectiv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acordul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notificări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transmise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platforma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informatică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concurs,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după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caz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14E27A94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3F241C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D160A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4E05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E8FD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1143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21EF3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684A5FD2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F854D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558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91F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436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A0F9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742F6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3EB32D0D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4AF55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ca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organizatoare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concursului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solicite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organelor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abilitate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extrasul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cazierul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judiciar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scopul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angajării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pot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reveni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oricând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asupra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acordat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prezenta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3686E46F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D41DC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baza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87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(4)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89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. (3)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nr. 448/2006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protecţia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promovarea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drepturilor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persoanelor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handicap,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republicată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modificările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completările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ca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persoană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dizabilităţi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:</w:t>
            </w:r>
          </w:p>
        </w:tc>
      </w:tr>
      <w:tr w:rsidR="006739D1" w:rsidRPr="00FF0A94" w14:paraId="49E5B80F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FF6567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5FA211" w14:textId="77777777" w:rsidR="006739D1" w:rsidRPr="00FF0A94" w:rsidRDefault="006739D1" w:rsidP="00383F77">
            <w:pPr>
              <w:ind w:left="60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- solicit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93ED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BAD3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025C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5F5986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5A900ADA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CD2FA3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D5862B" w14:textId="77777777" w:rsidR="006739D1" w:rsidRPr="00FF0A94" w:rsidRDefault="006739D1" w:rsidP="00383F77">
            <w:pPr>
              <w:ind w:left="60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- nu solicit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8DAF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50A2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42F0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7ACC86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2633C5E8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2FD305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adaptarea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rezonabilă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desfăşurare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concursului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3CFFDFEB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B3C2262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asemenea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formulez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următoarele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propuneri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instrumentele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necesare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asigurarea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accesibilităţii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probelor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concurs:</w:t>
            </w:r>
          </w:p>
        </w:tc>
      </w:tr>
      <w:tr w:rsidR="006739D1" w:rsidRPr="00FF0A94" w14:paraId="5BBCF54A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F3E1DC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1CBC" w14:textId="77777777" w:rsidR="006739D1" w:rsidRPr="00FF0A94" w:rsidRDefault="006739D1" w:rsidP="00383F77">
            <w:pPr>
              <w:ind w:left="60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D3B4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7EA9B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0380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681C706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053A735C" w14:textId="77777777" w:rsidTr="00383F77">
        <w:tc>
          <w:tcPr>
            <w:tcW w:w="3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B1AF5FD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5BF082" w14:textId="77777777" w:rsidR="006739D1" w:rsidRPr="00FF0A94" w:rsidRDefault="006739D1" w:rsidP="00383F77">
            <w:pPr>
              <w:ind w:left="60"/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- nu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îmi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exprim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7FF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|</w:t>
            </w:r>
            <w:r w:rsidRPr="00FF0A94">
              <w:rPr>
                <w:rFonts w:eastAsia="Times New Roman"/>
                <w:u w:val="single"/>
                <w:lang w:val="en-US" w:eastAsia="en-US"/>
              </w:rPr>
              <w:t>¯¯</w:t>
            </w:r>
            <w:r w:rsidRPr="00FF0A94">
              <w:rPr>
                <w:rFonts w:eastAsia="Times New Roman"/>
                <w:lang w:val="en-US" w:eastAsia="en-US"/>
              </w:rPr>
              <w:t>|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837A4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73A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5A0CF39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71521C9A" w14:textId="77777777" w:rsidTr="00383F77">
        <w:tc>
          <w:tcPr>
            <w:tcW w:w="1049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E6845F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 xml:space="preserve">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prelucrarea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ulterioară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caracter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personal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scopuri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statistice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cercetare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050DC4B1" w14:textId="77777777" w:rsidTr="00383F77">
        <w:tc>
          <w:tcPr>
            <w:tcW w:w="104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6203F65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1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menţionează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nivelul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raportare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Cadrul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european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comun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referinţă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limbi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străine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  <w:p w14:paraId="4E2D04D8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2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indicarea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sistemelor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operare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editare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orice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categorii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programe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IT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există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competenţe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utilizare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precum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este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cazul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informaţii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despre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diplomele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certificatele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alte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documente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relevante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atestă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deţinerea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respectivelor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competenţe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  <w:p w14:paraId="301FB5C0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3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menţiona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ordine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invers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cronologică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informaţiile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despre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activitatea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profesională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actuală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anterioară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  <w:p w14:paraId="4B8C5413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lastRenderedPageBreak/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4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bifa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"X"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varianta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răspuns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îşi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asumă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declarării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  <w:p w14:paraId="6182481F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5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completa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numai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cazul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dosar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nu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depune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adeverinţa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ateste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lipsa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calităţii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lucrător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Securităţii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colaborator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acesteia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emisă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condiţiile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prevăzute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legislaţia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specifică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situaţia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nu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solicită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expres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preluarea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informaţiilor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direct de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autoritatea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sau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instituţia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publică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competentă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  <w:p w14:paraId="5E15CAB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    </w:t>
            </w:r>
            <w:r w:rsidRPr="00FF0A94">
              <w:rPr>
                <w:rFonts w:eastAsia="Times New Roman"/>
                <w:sz w:val="16"/>
                <w:vertAlign w:val="superscript"/>
                <w:lang w:val="en-US" w:eastAsia="en-US"/>
              </w:rPr>
              <w:t>6</w:t>
            </w:r>
            <w:r w:rsidRPr="00FF0A94">
              <w:rPr>
                <w:rFonts w:eastAsia="Times New Roman"/>
                <w:lang w:val="en-US" w:eastAsia="en-US"/>
              </w:rPr>
              <w:t xml:space="preserve">) Se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bifa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cu "X"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varianta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răspuns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care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optează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;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pentru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comunicarea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electronică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va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fi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folosită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adresa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e-mail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indicată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de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candidat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prezentul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formular.</w:t>
            </w:r>
          </w:p>
        </w:tc>
      </w:tr>
    </w:tbl>
    <w:p w14:paraId="7C3F6C59" w14:textId="77777777" w:rsidR="006739D1" w:rsidRPr="00FF0A94" w:rsidRDefault="006739D1" w:rsidP="006739D1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FF0A94">
        <w:rPr>
          <w:rFonts w:eastAsia="Times New Roman"/>
          <w:color w:val="000000"/>
          <w:bdr w:val="none" w:sz="0" w:space="0" w:color="auto" w:frame="1"/>
          <w:lang w:val="en-US" w:eastAsia="en-US"/>
        </w:rPr>
        <w:lastRenderedPageBreak/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6739D1" w:rsidRPr="00FF0A94" w14:paraId="52ECCD45" w14:textId="77777777" w:rsidTr="00383F77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9F6C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Cunoscând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prevederile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art. 326 din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Codul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penal cu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privire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la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falsul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declaraţii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declar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pe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proprie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răspundere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că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datele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furnizate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în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acest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formular sunt </w:t>
            </w:r>
            <w:proofErr w:type="spellStart"/>
            <w:r w:rsidRPr="00FF0A94">
              <w:rPr>
                <w:rFonts w:eastAsia="Times New Roman"/>
                <w:lang w:val="en-US" w:eastAsia="en-US"/>
              </w:rPr>
              <w:t>adevărate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>.</w:t>
            </w:r>
          </w:p>
        </w:tc>
      </w:tr>
      <w:tr w:rsidR="006739D1" w:rsidRPr="00FF0A94" w14:paraId="49FE6D0B" w14:textId="77777777" w:rsidTr="00383F77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C481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bdr w:val="none" w:sz="0" w:space="0" w:color="auto" w:frame="1"/>
                <w:lang w:val="en-US" w:eastAsia="en-US"/>
              </w:rPr>
              <w:br/>
            </w:r>
          </w:p>
        </w:tc>
      </w:tr>
      <w:tr w:rsidR="006739D1" w:rsidRPr="00FF0A94" w14:paraId="57B0051D" w14:textId="77777777" w:rsidTr="00383F77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A1337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r w:rsidRPr="00FF0A94">
              <w:rPr>
                <w:rFonts w:eastAsia="Times New Roman"/>
                <w:lang w:val="en-US" w:eastAsia="en-US"/>
              </w:rPr>
              <w:t>Data ........................</w:t>
            </w:r>
          </w:p>
        </w:tc>
      </w:tr>
      <w:tr w:rsidR="006739D1" w:rsidRPr="00FF0A94" w14:paraId="05ED6894" w14:textId="77777777" w:rsidTr="00383F77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1051A" w14:textId="77777777" w:rsidR="006739D1" w:rsidRPr="00FF0A94" w:rsidRDefault="006739D1" w:rsidP="00383F77">
            <w:pPr>
              <w:rPr>
                <w:rFonts w:eastAsia="Times New Roman"/>
                <w:lang w:val="en-US" w:eastAsia="en-US"/>
              </w:rPr>
            </w:pPr>
            <w:proofErr w:type="spellStart"/>
            <w:r w:rsidRPr="00FF0A94">
              <w:rPr>
                <w:rFonts w:eastAsia="Times New Roman"/>
                <w:lang w:val="en-US" w:eastAsia="en-US"/>
              </w:rPr>
              <w:t>Semnătura</w:t>
            </w:r>
            <w:proofErr w:type="spellEnd"/>
            <w:r w:rsidRPr="00FF0A94">
              <w:rPr>
                <w:rFonts w:eastAsia="Times New Roman"/>
                <w:lang w:val="en-US" w:eastAsia="en-US"/>
              </w:rPr>
              <w:t xml:space="preserve"> ...............</w:t>
            </w:r>
          </w:p>
        </w:tc>
      </w:tr>
    </w:tbl>
    <w:p w14:paraId="7FD196BB" w14:textId="77777777" w:rsidR="006739D1" w:rsidRDefault="006739D1" w:rsidP="00854197"/>
    <w:sectPr w:rsidR="006739D1" w:rsidSect="00FE2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8C3"/>
    <w:multiLevelType w:val="hybridMultilevel"/>
    <w:tmpl w:val="2DF2FA6E"/>
    <w:lvl w:ilvl="0" w:tplc="B4FE0702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F55D4"/>
    <w:multiLevelType w:val="singleLevel"/>
    <w:tmpl w:val="F126C68C"/>
    <w:lvl w:ilvl="0">
      <w:start w:val="1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6F8C12F7"/>
    <w:multiLevelType w:val="singleLevel"/>
    <w:tmpl w:val="8D927C0C"/>
    <w:lvl w:ilvl="0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 w16cid:durableId="11566066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995420">
    <w:abstractNumId w:val="1"/>
  </w:num>
  <w:num w:numId="3" w16cid:durableId="89358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94"/>
    <w:rsid w:val="00135321"/>
    <w:rsid w:val="001C6450"/>
    <w:rsid w:val="003A795F"/>
    <w:rsid w:val="006318D5"/>
    <w:rsid w:val="006739D1"/>
    <w:rsid w:val="006B402B"/>
    <w:rsid w:val="00726386"/>
    <w:rsid w:val="00734724"/>
    <w:rsid w:val="007414D5"/>
    <w:rsid w:val="008235F4"/>
    <w:rsid w:val="00846835"/>
    <w:rsid w:val="0085204A"/>
    <w:rsid w:val="00854197"/>
    <w:rsid w:val="008D39EE"/>
    <w:rsid w:val="008E3E1A"/>
    <w:rsid w:val="009C5853"/>
    <w:rsid w:val="009D64BD"/>
    <w:rsid w:val="00A14A63"/>
    <w:rsid w:val="00A5044D"/>
    <w:rsid w:val="00A701DF"/>
    <w:rsid w:val="00B5442D"/>
    <w:rsid w:val="00BF56AA"/>
    <w:rsid w:val="00C66832"/>
    <w:rsid w:val="00D53FB0"/>
    <w:rsid w:val="00D94DFF"/>
    <w:rsid w:val="00DA6812"/>
    <w:rsid w:val="00DB6D51"/>
    <w:rsid w:val="00DF29CC"/>
    <w:rsid w:val="00E10DF0"/>
    <w:rsid w:val="00FE2D03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DD5"/>
  <w15:docId w15:val="{F59A1445-4BB0-4629-9B86-A92DBA9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9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FF0A9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46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F0A9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Textbloc">
    <w:name w:val="Block Text"/>
    <w:basedOn w:val="Normal"/>
    <w:rsid w:val="00FF0A94"/>
    <w:pPr>
      <w:ind w:left="2880" w:right="1134" w:hanging="1260"/>
      <w:jc w:val="center"/>
    </w:pPr>
    <w:rPr>
      <w:b/>
      <w:bCs/>
      <w:sz w:val="28"/>
      <w:szCs w:val="28"/>
    </w:rPr>
  </w:style>
  <w:style w:type="paragraph" w:customStyle="1" w:styleId="rvps1">
    <w:name w:val="rvps1"/>
    <w:basedOn w:val="Normal"/>
    <w:rsid w:val="00FF0A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vts41">
    <w:name w:val="rvts41"/>
    <w:rsid w:val="00FF0A94"/>
    <w:rPr>
      <w:rFonts w:ascii="Times New Roman" w:hAnsi="Times New Roman" w:cs="Times New Roman" w:hint="default"/>
      <w:sz w:val="24"/>
      <w:szCs w:val="24"/>
    </w:rPr>
  </w:style>
  <w:style w:type="character" w:customStyle="1" w:styleId="rvts4">
    <w:name w:val="rvts4"/>
    <w:basedOn w:val="Fontdeparagrafimplicit"/>
    <w:rsid w:val="00FF0A94"/>
  </w:style>
  <w:style w:type="paragraph" w:styleId="NormalWeb">
    <w:name w:val="Normal (Web)"/>
    <w:basedOn w:val="Normal"/>
    <w:uiPriority w:val="99"/>
    <w:unhideWhenUsed/>
    <w:rsid w:val="00FF0A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vts8">
    <w:name w:val="rvts8"/>
    <w:basedOn w:val="Fontdeparagrafimplicit"/>
    <w:rsid w:val="00FF0A94"/>
  </w:style>
  <w:style w:type="paragraph" w:customStyle="1" w:styleId="rvps8">
    <w:name w:val="rvps8"/>
    <w:basedOn w:val="Normal"/>
    <w:rsid w:val="00FF0A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vts11">
    <w:name w:val="rvts11"/>
    <w:basedOn w:val="Fontdeparagrafimplicit"/>
    <w:rsid w:val="00FF0A94"/>
  </w:style>
  <w:style w:type="character" w:customStyle="1" w:styleId="rvts17">
    <w:name w:val="rvts17"/>
    <w:basedOn w:val="Fontdeparagrafimplicit"/>
    <w:rsid w:val="00FF0A94"/>
  </w:style>
  <w:style w:type="character" w:customStyle="1" w:styleId="rvts9">
    <w:name w:val="rvts9"/>
    <w:basedOn w:val="Fontdeparagrafimplicit"/>
    <w:rsid w:val="00FF0A94"/>
  </w:style>
  <w:style w:type="paragraph" w:customStyle="1" w:styleId="rvps9">
    <w:name w:val="rvps9"/>
    <w:basedOn w:val="Normal"/>
    <w:rsid w:val="00FF0A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468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o-RO"/>
    </w:rPr>
  </w:style>
  <w:style w:type="paragraph" w:styleId="Indentcorptext2">
    <w:name w:val="Body Text Indent 2"/>
    <w:basedOn w:val="Normal"/>
    <w:link w:val="Indentcorptext2Caracter"/>
    <w:semiHidden/>
    <w:rsid w:val="00846835"/>
    <w:pPr>
      <w:ind w:firstLine="709"/>
      <w:jc w:val="both"/>
    </w:pPr>
    <w:rPr>
      <w:rFonts w:eastAsia="Times New Roman"/>
      <w:i/>
      <w:sz w:val="28"/>
      <w:szCs w:val="20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846835"/>
    <w:rPr>
      <w:rFonts w:ascii="Times New Roman" w:eastAsia="Times New Roman" w:hAnsi="Times New Roman" w:cs="Times New Roman"/>
      <w:i/>
      <w:sz w:val="28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84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1959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20</cp:revision>
  <dcterms:created xsi:type="dcterms:W3CDTF">2024-05-21T09:46:00Z</dcterms:created>
  <dcterms:modified xsi:type="dcterms:W3CDTF">2024-08-12T11:28:00Z</dcterms:modified>
</cp:coreProperties>
</file>